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3" w:rsidRDefault="00342785" w:rsidP="00171801">
      <w:pPr>
        <w:pStyle w:val="OZNPROJEKTUwskazaniedatylubwersjiprojektu"/>
      </w:pPr>
      <w:bookmarkStart w:id="0" w:name="_GoBack"/>
      <w:bookmarkEnd w:id="0"/>
      <w:r>
        <w:t>Projekt z dnia 30 marca 2022 r.</w:t>
      </w:r>
    </w:p>
    <w:p w:rsidR="003E3CB5" w:rsidRDefault="00211199" w:rsidP="00CA6A53"/>
    <w:p w:rsidR="00CA6A53" w:rsidRPr="008E447F" w:rsidRDefault="00342785" w:rsidP="00CA6A53">
      <w:pPr>
        <w:pStyle w:val="OZNRODZAKTUtznustawalubrozporzdzenieiorganwydajcy"/>
      </w:pPr>
      <w:r w:rsidRPr="008E447F">
        <w:t>ROZPORZĄDZENIE</w:t>
      </w:r>
    </w:p>
    <w:p w:rsidR="00CA6A53" w:rsidRPr="007C5A3E" w:rsidRDefault="00342785" w:rsidP="00CA6A53">
      <w:pPr>
        <w:pStyle w:val="OZNRODZAKTUtznustawalubrozporzdzenieiorganwydajcy"/>
        <w:rPr>
          <w:rStyle w:val="IGindeksgrny"/>
        </w:rPr>
      </w:pPr>
      <w:r>
        <w:t>MINISTRA EDUKACJI i nauki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:rsidR="00CA6A53" w:rsidRPr="008E447F" w:rsidRDefault="00342785" w:rsidP="00CA6A53">
      <w:pPr>
        <w:pStyle w:val="DATAAKTUdatauchwalenialubwydaniaaktu"/>
      </w:pPr>
      <w:r w:rsidRPr="008E447F">
        <w:t xml:space="preserve">z dnia ……………………………….. </w:t>
      </w:r>
      <w:r>
        <w:t>2022 </w:t>
      </w:r>
      <w:r w:rsidRPr="008E447F">
        <w:t>r.</w:t>
      </w:r>
    </w:p>
    <w:p w:rsidR="00CA6A53" w:rsidRPr="008E447F" w:rsidRDefault="00342785" w:rsidP="00CA6A53">
      <w:pPr>
        <w:pStyle w:val="TYTUAKTUprzedmiotregulacjiustawylubrozporzdzenia"/>
      </w:pPr>
      <w:r>
        <w:t xml:space="preserve">zmieniające rozporządzenie </w:t>
      </w:r>
      <w:r w:rsidRPr="008E447F">
        <w:t>w sprawie sposobu podziału części oświatowej subwencji ogólnej dla jednostek samorządu terytorialnego w</w:t>
      </w:r>
      <w:r>
        <w:t> </w:t>
      </w:r>
      <w:r w:rsidRPr="008E447F">
        <w:t xml:space="preserve">roku </w:t>
      </w:r>
      <w:r>
        <w:t>2022</w:t>
      </w:r>
    </w:p>
    <w:p w:rsidR="00CA6A53" w:rsidRPr="008E447F" w:rsidRDefault="00342785" w:rsidP="00CA6A53">
      <w:pPr>
        <w:pStyle w:val="NIEARTTEKSTtekstnieartykuowanynppodstprawnarozplubpreambua"/>
      </w:pPr>
      <w:r w:rsidRPr="008E447F">
        <w:t>Na podstawie</w:t>
      </w:r>
      <w:r>
        <w:t xml:space="preserve"> art. </w:t>
      </w:r>
      <w:r w:rsidRPr="008E447F">
        <w:t>28</w:t>
      </w:r>
      <w:r>
        <w:t xml:space="preserve"> ust. </w:t>
      </w:r>
      <w:r w:rsidRPr="008E447F">
        <w:t>6</w:t>
      </w:r>
      <w:r>
        <w:t> </w:t>
      </w:r>
      <w:r w:rsidRPr="008E447F">
        <w:t>ustawy z</w:t>
      </w:r>
      <w:r>
        <w:t> </w:t>
      </w:r>
      <w:r w:rsidRPr="008E447F">
        <w:t>dnia 13</w:t>
      </w:r>
      <w:r>
        <w:t> </w:t>
      </w:r>
      <w:r w:rsidRPr="008E447F">
        <w:t>listopada 2003</w:t>
      </w:r>
      <w:r>
        <w:t> </w:t>
      </w:r>
      <w:r w:rsidRPr="008E447F">
        <w:t>r. o</w:t>
      </w:r>
      <w:r>
        <w:t> </w:t>
      </w:r>
      <w:r w:rsidRPr="008E447F">
        <w:t xml:space="preserve">dochodach jednostek samorządu terytorialnego </w:t>
      </w:r>
      <w:r w:rsidRPr="002807E6">
        <w:t>(</w:t>
      </w:r>
      <w:r>
        <w:t>Dz. U.</w:t>
      </w:r>
      <w:r w:rsidRPr="002807E6">
        <w:t xml:space="preserve"> z </w:t>
      </w:r>
      <w:r>
        <w:t>2021 </w:t>
      </w:r>
      <w:r w:rsidRPr="00B921BE">
        <w:t>r.</w:t>
      </w:r>
      <w:r>
        <w:t xml:space="preserve"> poz. 1672, 1901 i  1927 oraz z 2022 r. poz. 646 i 655)</w:t>
      </w:r>
      <w:r w:rsidRPr="008E447F">
        <w:t xml:space="preserve"> zarządza się, co następuje:</w:t>
      </w:r>
    </w:p>
    <w:p w:rsidR="00CA6A53" w:rsidRDefault="00342785" w:rsidP="00CA6A53">
      <w:pPr>
        <w:pStyle w:val="ARTartustawynprozporzdzenia"/>
      </w:pPr>
      <w:r w:rsidRPr="00D332CB">
        <w:rPr>
          <w:rStyle w:val="Ppogrubienie"/>
        </w:rPr>
        <w:t>§ 1.</w:t>
      </w:r>
      <w:r w:rsidRPr="007B386B">
        <w:rPr>
          <w:rStyle w:val="Ppogrubienie"/>
        </w:rPr>
        <w:t xml:space="preserve"> </w:t>
      </w:r>
      <w:r w:rsidRPr="009A4F81">
        <w:t>W rozporządz</w:t>
      </w:r>
      <w:r>
        <w:t>eniu Ministra Edukacji i Nauki z dnia 21</w:t>
      </w:r>
      <w:r w:rsidRPr="009A4F81">
        <w:t xml:space="preserve"> grudnia 20</w:t>
      </w:r>
      <w:r>
        <w:t>21</w:t>
      </w:r>
      <w:r w:rsidRPr="009A4F81">
        <w:t xml:space="preserve"> r.</w:t>
      </w:r>
      <w:r>
        <w:t xml:space="preserve"> </w:t>
      </w:r>
      <w:r w:rsidRPr="009A4F81">
        <w:t>w sprawie sposobu podziału części oświatowej subwencji ogólnej dla jednostek samo</w:t>
      </w:r>
      <w:r>
        <w:t>rządu terytorialnego w roku 2022 (Dz. U. poz. 2453 oraz z 2022 r. poz. 352</w:t>
      </w:r>
      <w:r w:rsidRPr="009A4F81">
        <w:t xml:space="preserve">) w załączniku </w:t>
      </w:r>
      <w:r>
        <w:t xml:space="preserve">do rozporządzenia </w:t>
      </w:r>
      <w:r w:rsidRPr="009A4F81">
        <w:t>po ust. 7 dodaje się ust. 7a w brzmieniu:</w:t>
      </w:r>
    </w:p>
    <w:p w:rsidR="00CA6A53" w:rsidRPr="001B3E99" w:rsidRDefault="00342785" w:rsidP="00730A1E">
      <w:pPr>
        <w:pStyle w:val="ZUSTzmustartykuempunktem"/>
      </w:pPr>
      <w:r w:rsidRPr="001B3E99">
        <w:t xml:space="preserve"> „7a. Całkowita kwota części oświatowej dla jednostek samorządu terytorialnego, ustalona w sposób określony w ust. 7, ulega zwiększeniu o środki, zwane dalej „</w:t>
      </w:r>
      <w:r>
        <w:t xml:space="preserve">ogólną </w:t>
      </w:r>
      <w:r w:rsidRPr="001B3E99">
        <w:t>kwot</w:t>
      </w:r>
      <w:r>
        <w:t>ą</w:t>
      </w:r>
      <w:r w:rsidRPr="001B3E99">
        <w:t xml:space="preserve"> korygując</w:t>
      </w:r>
      <w:r>
        <w:t>ą</w:t>
      </w:r>
      <w:r w:rsidRPr="001B3E99">
        <w:t>”.</w:t>
      </w:r>
    </w:p>
    <w:p w:rsidR="00CA6A53" w:rsidRPr="009B39FD" w:rsidRDefault="00342785" w:rsidP="00730A1E">
      <w:pPr>
        <w:pStyle w:val="ZUSTzmustartykuempunktem"/>
      </w:pPr>
      <w:r>
        <w:t>Ogólna k</w:t>
      </w:r>
      <w:r w:rsidRPr="009B39FD">
        <w:t xml:space="preserve">wota korygująca, po odliczeniu rezerwy, o której mowa w art. 28 ust. 2 ustawy z dnia 13 listopada 2003 r. o dochodach jednostek samorządu terytorialnego, </w:t>
      </w:r>
      <w:r>
        <w:t xml:space="preserve">KK </w:t>
      </w:r>
      <w:r w:rsidRPr="009B39FD">
        <w:t xml:space="preserve">jest dzielona między jednostki samorządu terytorialnego. Kwota korygująca </w:t>
      </w:r>
      <w:proofErr w:type="spellStart"/>
      <w:r>
        <w:t>KK</w:t>
      </w:r>
      <w:r w:rsidRPr="002558A3">
        <w:rPr>
          <w:rStyle w:val="IDindeksdolny"/>
        </w:rPr>
        <w:t>i</w:t>
      </w:r>
      <w:proofErr w:type="spellEnd"/>
      <w:r>
        <w:t xml:space="preserve"> </w:t>
      </w:r>
      <w:r w:rsidRPr="009B39FD">
        <w:t>dla poszczególnych jednostek samorządu terytorialnego jest ustalana według wzoru:</w:t>
      </w:r>
    </w:p>
    <w:p w:rsidR="00A02BBD" w:rsidRPr="00730A1E" w:rsidRDefault="00342785" w:rsidP="005851D4">
      <w:pPr>
        <w:pStyle w:val="WMATFIZCHEMwzrmatfizlubchem"/>
        <w:rPr>
          <w:rStyle w:val="Ppogrubienie"/>
          <w:b w:val="0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KK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pd,i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 xml:space="preserve">∙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KK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pd</m:t>
                  </m:r>
                </m:sub>
              </m:sSub>
            </m:den>
          </m:f>
        </m:oMath>
      </m:oMathPara>
    </w:p>
    <w:p w:rsidR="00CA6A53" w:rsidRDefault="00211199" w:rsidP="00730A1E">
      <w:pPr>
        <w:pStyle w:val="WMATFIZCHEMwzrmatfizlubchem"/>
        <w:jc w:val="both"/>
      </w:pPr>
    </w:p>
    <w:p w:rsidR="00CA6A53" w:rsidRPr="009B39FD" w:rsidRDefault="00342785" w:rsidP="00730A1E">
      <w:pPr>
        <w:pStyle w:val="ZPKTzmpktartykuempunktem"/>
      </w:pPr>
      <w:r>
        <w:t>g</w:t>
      </w:r>
      <w:r w:rsidRPr="009B39FD">
        <w:t>dzie znaczenie poszczególnych symboli jest następujące:</w:t>
      </w:r>
    </w:p>
    <w:p w:rsidR="00CA6A53" w:rsidRDefault="00342785" w:rsidP="00730A1E">
      <w:pPr>
        <w:pStyle w:val="ZPKTzmpktartykuempunktem"/>
      </w:pPr>
      <w:r>
        <w:t>1)</w:t>
      </w:r>
      <w:r>
        <w:tab/>
      </w:r>
      <w:proofErr w:type="spellStart"/>
      <w:r w:rsidRPr="00730A1E">
        <w:rPr>
          <w:rStyle w:val="Ppogrubienie"/>
        </w:rPr>
        <w:t>KK</w:t>
      </w:r>
      <w:r w:rsidRPr="00730A1E">
        <w:rPr>
          <w:rStyle w:val="IDPindeksdolnyipogrubienie"/>
        </w:rPr>
        <w:t>i</w:t>
      </w:r>
      <w:proofErr w:type="spellEnd"/>
      <w:r w:rsidRPr="00730A1E">
        <w:rPr>
          <w:rStyle w:val="Ppogrubienie"/>
        </w:rPr>
        <w:t xml:space="preserve"> </w:t>
      </w:r>
      <w:r w:rsidRPr="00760F54">
        <w:t>–</w:t>
      </w:r>
      <w:r w:rsidRPr="00760F54">
        <w:tab/>
        <w:t>kwota korygująca dla i-tej jednostki samorządu terytorialnego, po zaokrągleniu w dół do pełnych złotych</w:t>
      </w:r>
      <w:r>
        <w:t>,</w:t>
      </w:r>
    </w:p>
    <w:p w:rsidR="00CA6A53" w:rsidRDefault="00342785" w:rsidP="00730A1E">
      <w:pPr>
        <w:pStyle w:val="ZPKTzmpktartykuempunktem"/>
      </w:pPr>
      <w:r>
        <w:lastRenderedPageBreak/>
        <w:t>2)</w:t>
      </w:r>
      <w:r>
        <w:tab/>
      </w:r>
      <w:r w:rsidRPr="00730A1E">
        <w:rPr>
          <w:rStyle w:val="Ppogrubienie"/>
        </w:rPr>
        <w:t>KK</w:t>
      </w:r>
      <w:r>
        <w:t xml:space="preserve"> –</w:t>
      </w:r>
      <w:r>
        <w:tab/>
        <w:t>ogólna kwota korygująca, po odliczeniu rezerwy, o której mowa w art. 28 ust. 2 ustawy z dnia 13 listopada 2003 r. o dochodach jednostek samorządu terytorialnego,</w:t>
      </w:r>
    </w:p>
    <w:p w:rsidR="00CA6A53" w:rsidRDefault="00342785" w:rsidP="00730A1E">
      <w:pPr>
        <w:pStyle w:val="ZPKTzmpktartykuempunktem"/>
      </w:pPr>
      <w:r>
        <w:t>3)</w:t>
      </w:r>
      <w:r>
        <w:tab/>
      </w:r>
      <w:proofErr w:type="spellStart"/>
      <w:r w:rsidRPr="00730A1E">
        <w:rPr>
          <w:rStyle w:val="Ppogrubienie"/>
        </w:rPr>
        <w:t>U</w:t>
      </w:r>
      <w:r w:rsidRPr="00730A1E">
        <w:rPr>
          <w:rStyle w:val="IDPindeksdolnyipogrubienie"/>
        </w:rPr>
        <w:t>pd,i</w:t>
      </w:r>
      <w:proofErr w:type="spellEnd"/>
      <w:r w:rsidRPr="00B31F52">
        <w:rPr>
          <w:rStyle w:val="IDindeksdolny"/>
        </w:rPr>
        <w:t xml:space="preserve"> </w:t>
      </w:r>
      <w:r>
        <w:t>–</w:t>
      </w:r>
      <w:r>
        <w:tab/>
        <w:t xml:space="preserve">dodatkowa </w:t>
      </w:r>
      <w:r w:rsidRPr="009B39FD">
        <w:rPr>
          <w:rStyle w:val="IDindeksdolny"/>
          <w:vertAlign w:val="baseline"/>
        </w:rPr>
        <w:t xml:space="preserve">przeliczeniowa liczba </w:t>
      </w:r>
      <w:r w:rsidRPr="00B23424">
        <w:rPr>
          <w:rStyle w:val="IDindeksdolny"/>
          <w:vertAlign w:val="baseline"/>
        </w:rPr>
        <w:t>ucznió</w:t>
      </w:r>
      <w:r>
        <w:rPr>
          <w:rStyle w:val="IDindeksdolny"/>
          <w:vertAlign w:val="baseline"/>
        </w:rPr>
        <w:t>w ogółem</w:t>
      </w:r>
      <w:r w:rsidRPr="009B39FD">
        <w:rPr>
          <w:rStyle w:val="IGPKindeksgrnyipogrubieniekursywa"/>
          <w:b w:val="0"/>
          <w:i w:val="0"/>
          <w:vertAlign w:val="baseline"/>
        </w:rPr>
        <w:t xml:space="preserve"> w i-tej</w:t>
      </w:r>
      <w:r w:rsidRPr="009B39FD">
        <w:rPr>
          <w:rStyle w:val="IGPKindeksgrnyipogrubieniekursywa"/>
        </w:rPr>
        <w:t xml:space="preserve"> </w:t>
      </w:r>
      <w:r w:rsidRPr="00792DE2">
        <w:t>jednostce samorządu terytorialnego</w:t>
      </w:r>
      <w:r>
        <w:t>, ustalona na podstawie danych systemu informacji oświatowej dla bazowego roku szkolnego według stanu na dzień 30 września 2021 r. i na dzień 10 października 2021 r.</w:t>
      </w:r>
      <w:r w:rsidRPr="00792DE2">
        <w:t>, obliczana według wzoru</w:t>
      </w:r>
      <w:r>
        <w:t>:</w:t>
      </w:r>
    </w:p>
    <w:p w:rsidR="0024598E" w:rsidRPr="005851D4" w:rsidRDefault="00211199" w:rsidP="00CA6A53">
      <w:pPr>
        <w:pStyle w:val="PKTpunkt"/>
      </w:pPr>
    </w:p>
    <w:p w:rsidR="000B4EB6" w:rsidRPr="000B4EB6" w:rsidRDefault="00211199" w:rsidP="000B4EB6">
      <w:pPr>
        <w:pStyle w:val="PKTpunkt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pd,i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a,i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(U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r,i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u,i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z,i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)</m:t>
          </m:r>
        </m:oMath>
      </m:oMathPara>
    </w:p>
    <w:p w:rsidR="00CA6A53" w:rsidRDefault="00211199" w:rsidP="00730A1E">
      <w:pPr>
        <w:pStyle w:val="WMATFIZCHEMwzrmatfizlubchem"/>
        <w:jc w:val="both"/>
      </w:pPr>
    </w:p>
    <w:p w:rsidR="00CA6A53" w:rsidRPr="009B39FD" w:rsidRDefault="00342785" w:rsidP="00730A1E">
      <w:pPr>
        <w:pStyle w:val="ZLITwPKTzmlitwpktartykuempunktem"/>
      </w:pPr>
      <w:r w:rsidRPr="00792DE2">
        <w:t xml:space="preserve">gdzie: </w:t>
      </w:r>
    </w:p>
    <w:p w:rsidR="00CA6A53" w:rsidRDefault="00342785" w:rsidP="00730A1E">
      <w:pPr>
        <w:pStyle w:val="ZLITwPKTzmlitwpktartykuempunktem"/>
      </w:pPr>
      <w:proofErr w:type="spellStart"/>
      <w:r w:rsidRPr="00730A1E">
        <w:rPr>
          <w:rStyle w:val="Ppogrubienie"/>
        </w:rPr>
        <w:t>W</w:t>
      </w:r>
      <w:r w:rsidRPr="00730A1E">
        <w:rPr>
          <w:rStyle w:val="IDPindeksdolnyipogrubienie"/>
        </w:rPr>
        <w:t>a,i</w:t>
      </w:r>
      <w:proofErr w:type="spellEnd"/>
      <w:r w:rsidRPr="00730A1E">
        <w:rPr>
          <w:rStyle w:val="IDPindeksdolnyipogrubienie"/>
        </w:rPr>
        <w:tab/>
      </w:r>
      <w:r>
        <w:t xml:space="preserve">– </w:t>
      </w:r>
      <w:r w:rsidRPr="00055AF9">
        <w:t>wskaźnik</w:t>
      </w:r>
      <w:r>
        <w:t xml:space="preserve"> obliczony w sposób określony w ust. 2 pkt 6, z uwzględnieniem średniego wynagrodzenia nauczycieli ustalonego w sposób określony w art. 30 ust. 3 ustawy z dnia 26 stycznia 1982 r. – Karta Nauczyciela, zwiększonego o 4,40 %,</w:t>
      </w:r>
    </w:p>
    <w:p w:rsidR="00CA6A53" w:rsidRPr="009B39FD" w:rsidRDefault="00342785" w:rsidP="00730A1E">
      <w:pPr>
        <w:pStyle w:val="ZLITwPKTzmlitwpktartykuempunktem"/>
        <w:rPr>
          <w:rStyle w:val="IDindeksdolny"/>
        </w:rPr>
      </w:pPr>
      <w:proofErr w:type="spellStart"/>
      <w:r w:rsidRPr="00730A1E">
        <w:rPr>
          <w:rStyle w:val="Ppogrubienie"/>
        </w:rPr>
        <w:t>U</w:t>
      </w:r>
      <w:r w:rsidRPr="00730A1E">
        <w:rPr>
          <w:rStyle w:val="IDPindeksdolnyipogrubienie"/>
        </w:rPr>
        <w:t>r,i</w:t>
      </w:r>
      <w:proofErr w:type="spellEnd"/>
      <w:r w:rsidRPr="00730A1E">
        <w:rPr>
          <w:rStyle w:val="IDPindeksdolnyipogrubienie"/>
        </w:rPr>
        <w:t xml:space="preserve"> </w:t>
      </w:r>
      <w:r w:rsidRPr="00B23424">
        <w:rPr>
          <w:rStyle w:val="IDindeksdolny"/>
          <w:vertAlign w:val="baseline"/>
        </w:rPr>
        <w:t>–</w:t>
      </w:r>
      <w:r>
        <w:rPr>
          <w:rStyle w:val="IDindeksdolny"/>
        </w:rPr>
        <w:t xml:space="preserve"> </w:t>
      </w:r>
      <w:r w:rsidRPr="009B39FD">
        <w:rPr>
          <w:rStyle w:val="IDindeksdolny"/>
          <w:vertAlign w:val="baseline"/>
        </w:rPr>
        <w:t xml:space="preserve">statystyczna </w:t>
      </w:r>
      <w:r>
        <w:t>liczba uczniów lub słuchaczy w i-tej jednostce samorządu terytorialnego,</w:t>
      </w:r>
      <w:r w:rsidRPr="00055AF9">
        <w:t xml:space="preserve"> obliczona w sposób określony w ust. 2 pkt 3,</w:t>
      </w:r>
    </w:p>
    <w:p w:rsidR="00CA6A53" w:rsidRPr="009B39FD" w:rsidRDefault="00342785" w:rsidP="00730A1E">
      <w:pPr>
        <w:pStyle w:val="ZLITwPKTzmlitwpktartykuempunktem"/>
        <w:rPr>
          <w:rStyle w:val="IDindeksdolny"/>
        </w:rPr>
      </w:pPr>
      <w:proofErr w:type="spellStart"/>
      <w:r w:rsidRPr="00171801">
        <w:rPr>
          <w:rStyle w:val="Ppogrubienie"/>
        </w:rPr>
        <w:t>U</w:t>
      </w:r>
      <w:r w:rsidRPr="00730A1E">
        <w:rPr>
          <w:rStyle w:val="IDPindeksdolnyipogrubienie"/>
        </w:rPr>
        <w:t>u,i</w:t>
      </w:r>
      <w:proofErr w:type="spellEnd"/>
      <w:r w:rsidRPr="00730A1E">
        <w:rPr>
          <w:rStyle w:val="IDPindeksdolnyipogrubienie"/>
        </w:rPr>
        <w:t xml:space="preserve"> </w:t>
      </w:r>
      <w:r w:rsidRPr="009B39FD">
        <w:rPr>
          <w:rStyle w:val="IDindeksdolny"/>
          <w:vertAlign w:val="baseline"/>
        </w:rPr>
        <w:t xml:space="preserve">– uzupełniająca liczba </w:t>
      </w:r>
      <w:r w:rsidRPr="00B23424">
        <w:rPr>
          <w:rStyle w:val="IDindeksdolny"/>
          <w:vertAlign w:val="baseline"/>
        </w:rPr>
        <w:t>ucznió</w:t>
      </w:r>
      <w:r>
        <w:rPr>
          <w:rStyle w:val="IDindeksdolny"/>
          <w:vertAlign w:val="baseline"/>
        </w:rPr>
        <w:t xml:space="preserve">w lub słuchaczy w i-tej jednostce samorządu terytorialnego, </w:t>
      </w:r>
      <w:r w:rsidRPr="00B23424">
        <w:rPr>
          <w:rStyle w:val="IDindeksdolny"/>
          <w:vertAlign w:val="baseline"/>
        </w:rPr>
        <w:t>obliczona</w:t>
      </w:r>
      <w:r w:rsidRPr="001E60BE">
        <w:rPr>
          <w:rStyle w:val="IDindeksdolny"/>
          <w:vertAlign w:val="baseline"/>
        </w:rPr>
        <w:t xml:space="preserve"> w sposób</w:t>
      </w:r>
      <w:r w:rsidRPr="009B39FD">
        <w:rPr>
          <w:rStyle w:val="IDindeksdolny"/>
          <w:vertAlign w:val="baseline"/>
        </w:rPr>
        <w:t xml:space="preserve"> określony w ust. 2 pkt </w:t>
      </w:r>
      <w:r>
        <w:rPr>
          <w:rStyle w:val="IDindeksdolny"/>
          <w:vertAlign w:val="baseline"/>
        </w:rPr>
        <w:t>4</w:t>
      </w:r>
      <w:r w:rsidRPr="009B39FD">
        <w:rPr>
          <w:rStyle w:val="IGPKindeksgrnyipogrubieniekursywa"/>
          <w:b w:val="0"/>
          <w:i w:val="0"/>
          <w:vertAlign w:val="baseline"/>
        </w:rPr>
        <w:t>,</w:t>
      </w:r>
    </w:p>
    <w:p w:rsidR="00CA6A53" w:rsidRDefault="00342785" w:rsidP="00AE3C24">
      <w:pPr>
        <w:pStyle w:val="ZLITwPKTzmlitwpktartykuempunktem"/>
      </w:pPr>
      <w:proofErr w:type="spellStart"/>
      <w:r w:rsidRPr="00730A1E">
        <w:rPr>
          <w:rStyle w:val="Ppogrubienie"/>
        </w:rPr>
        <w:t>U</w:t>
      </w:r>
      <w:r w:rsidRPr="00730A1E">
        <w:rPr>
          <w:rStyle w:val="IDPindeksdolnyipogrubienie"/>
        </w:rPr>
        <w:t>z,i</w:t>
      </w:r>
      <w:proofErr w:type="spellEnd"/>
      <w:r w:rsidRPr="00730A1E">
        <w:rPr>
          <w:rStyle w:val="IDPindeksdolnyipogrubienie"/>
        </w:rPr>
        <w:t xml:space="preserve"> </w:t>
      </w:r>
      <w:r w:rsidRPr="00B23424">
        <w:rPr>
          <w:rStyle w:val="IDindeksdolny"/>
          <w:vertAlign w:val="baseline"/>
        </w:rPr>
        <w:t xml:space="preserve">– </w:t>
      </w:r>
      <w:r>
        <w:rPr>
          <w:rStyle w:val="IDindeksdolny"/>
        </w:rPr>
        <w:t xml:space="preserve"> </w:t>
      </w:r>
      <w:r w:rsidRPr="009B39FD">
        <w:rPr>
          <w:rStyle w:val="IDindeksdolny"/>
          <w:vertAlign w:val="baseline"/>
        </w:rPr>
        <w:t>przeliczeniowa liczba</w:t>
      </w:r>
      <w:r>
        <w:rPr>
          <w:rStyle w:val="IDindeksdolny"/>
          <w:vertAlign w:val="baseline"/>
        </w:rPr>
        <w:t xml:space="preserve"> uczniów, słuchaczy</w:t>
      </w:r>
      <w:r>
        <w:rPr>
          <w:rStyle w:val="IDindeksdolny"/>
        </w:rPr>
        <w:t>,</w:t>
      </w:r>
      <w:r>
        <w:rPr>
          <w:rStyle w:val="IDindeksdolny"/>
          <w:vertAlign w:val="baseline"/>
        </w:rPr>
        <w:t xml:space="preserve"> </w:t>
      </w:r>
      <w:r>
        <w:t>wychowanków oraz</w:t>
      </w:r>
      <w:r w:rsidRPr="00055AF9">
        <w:t xml:space="preserve"> dzieci i młodzieży</w:t>
      </w:r>
      <w:r>
        <w:t xml:space="preserve"> </w:t>
      </w:r>
      <w:r w:rsidRPr="001852FA">
        <w:t>uprawnionych lub korzystających w bazowym roku szkolnym w zakresie zadań pozaszkolnych</w:t>
      </w:r>
      <w:r>
        <w:t xml:space="preserve"> w i-tej jednostce samorządu terytorialnego, </w:t>
      </w:r>
      <w:r w:rsidRPr="00055AF9">
        <w:t>obliczona w sposób określony w ust. 2 pkt 5</w:t>
      </w:r>
      <w:r>
        <w:t xml:space="preserve"> z wyłączeniem przeliczeniowej liczby nauczycieli stażystów,</w:t>
      </w:r>
    </w:p>
    <w:p w:rsidR="00CA6A53" w:rsidRPr="005851D4" w:rsidRDefault="00342785" w:rsidP="00730A1E">
      <w:pPr>
        <w:pStyle w:val="ZPKTzmpktartykuempunktem"/>
      </w:pPr>
      <w:r w:rsidRPr="009B39FD">
        <w:rPr>
          <w:rStyle w:val="IDindeksdolny"/>
          <w:vertAlign w:val="baseline"/>
        </w:rPr>
        <w:t>4)</w:t>
      </w:r>
      <w:r>
        <w:rPr>
          <w:rStyle w:val="IDindeksdolny"/>
        </w:rPr>
        <w:tab/>
      </w:r>
      <w:proofErr w:type="spellStart"/>
      <w:r w:rsidRPr="00730A1E">
        <w:rPr>
          <w:rStyle w:val="Ppogrubienie"/>
        </w:rPr>
        <w:t>U</w:t>
      </w:r>
      <w:r w:rsidRPr="00730A1E">
        <w:rPr>
          <w:rStyle w:val="IDPindeksdolnyipogrubienie"/>
        </w:rPr>
        <w:t>pd</w:t>
      </w:r>
      <w:proofErr w:type="spellEnd"/>
      <w:r w:rsidRPr="009B39FD">
        <w:rPr>
          <w:rStyle w:val="IDindeksdolny"/>
          <w:vertAlign w:val="baseline"/>
        </w:rPr>
        <w:t xml:space="preserve"> </w:t>
      </w:r>
      <w:r w:rsidRPr="009B39FD">
        <w:t>–</w:t>
      </w:r>
      <w:r w:rsidRPr="009B39FD">
        <w:rPr>
          <w:rStyle w:val="IDindeksdolny"/>
          <w:vertAlign w:val="baseline"/>
        </w:rPr>
        <w:t xml:space="preserve"> suma</w:t>
      </w:r>
      <w:r>
        <w:rPr>
          <w:rStyle w:val="IDindeksdolny"/>
        </w:rPr>
        <w:t xml:space="preserve"> </w:t>
      </w:r>
      <w:r>
        <w:t>przeliczeniowej</w:t>
      </w:r>
      <w:r>
        <w:rPr>
          <w:rStyle w:val="IDindeksdolny"/>
        </w:rPr>
        <w:t xml:space="preserve"> </w:t>
      </w:r>
      <w:r w:rsidRPr="009B39FD">
        <w:rPr>
          <w:rStyle w:val="IDindeksdolny"/>
          <w:vertAlign w:val="baseline"/>
        </w:rPr>
        <w:t>liczby ucznió</w:t>
      </w:r>
      <w:r>
        <w:rPr>
          <w:rStyle w:val="IDindeksdolny"/>
          <w:vertAlign w:val="baseline"/>
        </w:rPr>
        <w:t>w ogółem</w:t>
      </w:r>
      <w:r w:rsidRPr="009B39FD">
        <w:rPr>
          <w:rStyle w:val="IDindeksdolny"/>
          <w:vertAlign w:val="baseline"/>
        </w:rPr>
        <w:t xml:space="preserve"> </w:t>
      </w:r>
      <w:proofErr w:type="spellStart"/>
      <w:r w:rsidRPr="00F216A4">
        <w:rPr>
          <w:rStyle w:val="Ppogrubienie"/>
        </w:rPr>
        <w:t>U</w:t>
      </w:r>
      <w:r w:rsidRPr="00F216A4">
        <w:rPr>
          <w:rStyle w:val="IDPindeksdolnyipogrubienie"/>
        </w:rPr>
        <w:t>pd,i</w:t>
      </w:r>
      <w:proofErr w:type="spellEnd"/>
      <w:r w:rsidRPr="00F216A4">
        <w:rPr>
          <w:rStyle w:val="IDPindeksdolnyipogrubienie"/>
        </w:rPr>
        <w:t xml:space="preserve"> </w:t>
      </w:r>
      <w:r w:rsidRPr="009B39FD">
        <w:rPr>
          <w:rStyle w:val="IDindeksdolny"/>
          <w:vertAlign w:val="baseline"/>
        </w:rPr>
        <w:t>dla wszystkich jednostek samorządu terytorialnego,</w:t>
      </w:r>
      <w:r w:rsidRPr="009B39FD">
        <w:t xml:space="preserve"> obliczana według wzoru:</w:t>
      </w:r>
      <w:r>
        <w:t xml:space="preserve"> </w:t>
      </w:r>
    </w:p>
    <w:p w:rsidR="00C0526A" w:rsidRDefault="00211199" w:rsidP="00CA6A53">
      <w:pPr>
        <w:pStyle w:val="WMATFIZCHEMwzrmatfizlubchem"/>
      </w:pPr>
    </w:p>
    <w:p w:rsidR="004660EE" w:rsidRPr="004660EE" w:rsidRDefault="00211199" w:rsidP="004660EE">
      <w:pPr>
        <w:pStyle w:val="WMATFIZCHEMwzrmatfizlubchem"/>
        <w:rPr>
          <w:rStyle w:val="Ppogrubienie"/>
        </w:rPr>
      </w:pPr>
      <m:oMathPara>
        <m:oMath>
          <m:sSub>
            <m:sSubPr>
              <m:ctrlPr>
                <w:rPr>
                  <w:rStyle w:val="Ppogrubienie"/>
                  <w:rFonts w:ascii="Cambria Math" w:hAnsi="Cambria Math"/>
                  <w:b w:val="0"/>
                </w:rPr>
              </m:ctrlPr>
            </m:sSubPr>
            <m:e>
              <m:r>
                <m:rPr>
                  <m:sty m:val="b"/>
                </m:rPr>
                <w:rPr>
                  <w:rStyle w:val="Ppogrubienie"/>
                  <w:rFonts w:ascii="Cambria Math" w:hAnsi="Cambria Math"/>
                </w:rPr>
                <m:t>U</m:t>
              </m:r>
            </m:e>
            <m:sub>
              <m:r>
                <m:rPr>
                  <m:sty m:val="b"/>
                </m:rPr>
                <w:rPr>
                  <w:rStyle w:val="Ppogrubienie"/>
                  <w:rFonts w:ascii="Cambria Math" w:hAnsi="Cambria Math"/>
                </w:rPr>
                <m:t>pd</m:t>
              </m:r>
            </m:sub>
          </m:sSub>
          <m:r>
            <m:rPr>
              <m:sty m:val="p"/>
            </m:rPr>
            <w:rPr>
              <w:rStyle w:val="Ppogrubienie"/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Style w:val="Ppogrubienie"/>
                  <w:rFonts w:ascii="Cambria Math" w:hAnsi="Cambria Math"/>
                  <w:b w:val="0"/>
                </w:rPr>
              </m:ctrlPr>
            </m:naryPr>
            <m:sub>
              <m:r>
                <m:rPr>
                  <m:sty m:val="b"/>
                </m:rPr>
                <w:rPr>
                  <w:rStyle w:val="Ppogrubienie"/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Style w:val="Ppogrubienie"/>
                  <w:rFonts w:ascii="Cambria Math" w:hAnsi="Cambria Math"/>
                </w:rPr>
                <m:t>=</m:t>
              </m:r>
              <m:r>
                <m:rPr>
                  <m:sty m:val="b"/>
                </m:rPr>
                <w:rPr>
                  <w:rStyle w:val="Ppogrubienie"/>
                  <w:rFonts w:ascii="Cambria Math" w:hAnsi="Cambria Math"/>
                </w:rPr>
                <m:t>1</m:t>
              </m:r>
            </m:sub>
            <m:sup>
              <m:r>
                <m:rPr>
                  <m:sty m:val="b"/>
                </m:rPr>
                <w:rPr>
                  <w:rStyle w:val="Ppogrubienie"/>
                  <w:rFonts w:ascii="Cambria Math" w:hAnsi="Cambria Math"/>
                </w:rPr>
                <m:t>Ls</m:t>
              </m:r>
            </m:sup>
            <m:e>
              <m:sSub>
                <m:sSubPr>
                  <m:ctrlPr>
                    <w:rPr>
                      <w:rStyle w:val="Ppogrubienie"/>
                      <w:rFonts w:ascii="Cambria Math" w:hAnsi="Cambria Math"/>
                      <w:b w:val="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Ppogrubienie"/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Style w:val="Ppogrubienie"/>
                      <w:rFonts w:ascii="Cambria Math" w:hAnsi="Cambria Math"/>
                    </w:rPr>
                    <m:t>pd</m:t>
                  </m:r>
                  <m:r>
                    <m:rPr>
                      <m:sty m:val="p"/>
                    </m:rPr>
                    <w:rPr>
                      <w:rStyle w:val="Ppogrubienie"/>
                      <w:rFonts w:ascii="Cambria Math" w:hAnsi="Cambria Math"/>
                    </w:rPr>
                    <m:t>,</m:t>
                  </m:r>
                  <m:r>
                    <m:rPr>
                      <m:sty m:val="b"/>
                    </m:rPr>
                    <w:rPr>
                      <w:rStyle w:val="Ppogrubienie"/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CA6A53" w:rsidRDefault="00211199" w:rsidP="00730A1E">
      <w:pPr>
        <w:pStyle w:val="WMATFIZCHEMwzrmatfizlubchem"/>
        <w:jc w:val="both"/>
      </w:pPr>
    </w:p>
    <w:p w:rsidR="00A8203C" w:rsidRDefault="00342785" w:rsidP="00730A1E">
      <w:pPr>
        <w:pStyle w:val="ZLITwPKTzmlitwpktartykuempunktem"/>
      </w:pPr>
      <w:r>
        <w:t xml:space="preserve">gdzie </w:t>
      </w:r>
      <w:proofErr w:type="spellStart"/>
      <w:r w:rsidRPr="00AA4C19">
        <w:rPr>
          <w:rStyle w:val="Ppogrubienie"/>
        </w:rPr>
        <w:t>U</w:t>
      </w:r>
      <w:r w:rsidRPr="00AA4C19">
        <w:rPr>
          <w:rStyle w:val="IDPindeksdolnyipogrubienie"/>
        </w:rPr>
        <w:t>pd,i</w:t>
      </w:r>
      <w:proofErr w:type="spellEnd"/>
      <w:r w:rsidRPr="00AA4C19">
        <w:rPr>
          <w:rStyle w:val="IDPindeksdolnyipogrubienie"/>
        </w:rPr>
        <w:t xml:space="preserve"> </w:t>
      </w:r>
      <w:r>
        <w:t>jest obliczane w sposób określony w pkt 3,</w:t>
      </w:r>
    </w:p>
    <w:p w:rsidR="00CA6A53" w:rsidRDefault="00342785" w:rsidP="00730A1E">
      <w:pPr>
        <w:pStyle w:val="ZLITwPKTzmlitwpktartykuempunktem"/>
      </w:pPr>
      <w:r w:rsidRPr="00A8203C">
        <w:t xml:space="preserve">oraz indeks </w:t>
      </w:r>
      <w:r w:rsidRPr="00152C7C">
        <w:rPr>
          <w:rStyle w:val="Ppogrubienie"/>
        </w:rPr>
        <w:t>i</w:t>
      </w:r>
      <w:r w:rsidRPr="00A8203C">
        <w:t xml:space="preserve"> wynosi: od 1 do </w:t>
      </w:r>
      <w:proofErr w:type="spellStart"/>
      <w:r w:rsidRPr="00A8203C">
        <w:t>Ls</w:t>
      </w:r>
      <w:proofErr w:type="spellEnd"/>
      <w:r w:rsidRPr="00A8203C">
        <w:t>.</w:t>
      </w:r>
      <w:r w:rsidRPr="00F70DD8">
        <w:t>”</w:t>
      </w:r>
      <w:r>
        <w:t>.</w:t>
      </w:r>
    </w:p>
    <w:p w:rsidR="00CA6A53" w:rsidRPr="007B386B" w:rsidRDefault="00342785" w:rsidP="00CA6A53">
      <w:pPr>
        <w:pStyle w:val="ARTartustawynprozporzdzenia"/>
      </w:pPr>
      <w:r w:rsidRPr="00660AEB">
        <w:rPr>
          <w:rStyle w:val="Ppogrubienie"/>
        </w:rPr>
        <w:lastRenderedPageBreak/>
        <w:t>§ </w:t>
      </w:r>
      <w:r>
        <w:rPr>
          <w:rStyle w:val="Ppogrubienie"/>
        </w:rPr>
        <w:t>2</w:t>
      </w:r>
      <w:r w:rsidRPr="00660AEB">
        <w:rPr>
          <w:rStyle w:val="Ppogrubienie"/>
        </w:rPr>
        <w:t>.</w:t>
      </w:r>
      <w:r w:rsidRPr="007B386B">
        <w:t xml:space="preserve"> Rozporządzenie wchodzi w życie </w:t>
      </w:r>
      <w:r>
        <w:t>z dniem następującym po dniu ogłoszenia.</w:t>
      </w:r>
      <w:r w:rsidRPr="00FE2EA4">
        <w:t> </w:t>
      </w:r>
    </w:p>
    <w:p w:rsidR="00CA6A53" w:rsidRPr="008E447F" w:rsidRDefault="00211199" w:rsidP="00CA6A53">
      <w:pPr>
        <w:pStyle w:val="ARTartustawynprozporzdzenia"/>
      </w:pPr>
    </w:p>
    <w:p w:rsidR="00CA6A53" w:rsidRPr="009B39FD" w:rsidRDefault="00342785" w:rsidP="00CA6A53">
      <w:pPr>
        <w:pStyle w:val="NAZORGWYDnazwaorganuwydajcegoprojektowanyakt"/>
        <w:rPr>
          <w:rStyle w:val="Ppogrubienie"/>
        </w:rPr>
      </w:pPr>
      <w:r>
        <w:t>MINISTER EDUKACJI i nauki</w:t>
      </w:r>
    </w:p>
    <w:p w:rsidR="00CA6A53" w:rsidRPr="007B386B" w:rsidRDefault="00342785" w:rsidP="00CA6A53">
      <w:pPr>
        <w:pStyle w:val="ARTartustawynprozporzdzenia"/>
      </w:pPr>
      <w:r w:rsidRPr="00FE2EA4">
        <w:t> </w:t>
      </w:r>
    </w:p>
    <w:p w:rsidR="00CA6A53" w:rsidRDefault="00211199" w:rsidP="00CA6A53"/>
    <w:p w:rsidR="00CA6A53" w:rsidRPr="00737F6A" w:rsidRDefault="00342785" w:rsidP="00CA6A53">
      <w:r w:rsidRPr="00905B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5BA3" w:rsidRDefault="00342785" w:rsidP="00905BA3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905BA3" w:rsidRDefault="00342785" w:rsidP="00905BA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905BA3" w:rsidRDefault="00342785" w:rsidP="00905BA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17.91pt;margin-left:0;margin-top:-0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60288" filled="f" fillcolor="this" stroked="f">
                <v:textbox>
                  <w:txbxContent>
                    <w:p w:rsidR="00905BA3" w:rsidP="00905BA3">
                      <w:pPr>
                        <w:jc w:val="center"/>
                      </w:pPr>
                      <w:r w:rsidRPr="00CC478F">
                        <w:t>Za</w:t>
                      </w:r>
                      <w:bookmarkStart w:id="0" w:name="_GoBack"/>
                      <w:r w:rsidRPr="00CC478F">
                        <w:t xml:space="preserve">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905BA3" w:rsidP="00905BA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905BA3" w:rsidP="00905BA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  <w:bookmarkEnd w:id="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29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152400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6A53" w:rsidRDefault="00211199" w:rsidP="00CA6A5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e tekstowe 2" o:spid="_x0000_s1026" type="#_x0000_t202" style="height:117.9pt;margin-left:12pt;margin-top:1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width:205.5pt;z-index:251659264" filled="f" stroked="f">
                <v:textbox>
                  <w:txbxContent>
                    <w:p w:rsidR="00CA6A53" w:rsidP="00CA6A5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6A53" w:rsidRPr="00737F6A" w:rsidSect="00CA6A53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99" w:rsidRDefault="00211199">
      <w:pPr>
        <w:spacing w:line="240" w:lineRule="auto"/>
      </w:pPr>
      <w:r>
        <w:separator/>
      </w:r>
    </w:p>
  </w:endnote>
  <w:endnote w:type="continuationSeparator" w:id="0">
    <w:p w:rsidR="00211199" w:rsidRDefault="00211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99" w:rsidRDefault="00211199">
      <w:r>
        <w:separator/>
      </w:r>
    </w:p>
  </w:footnote>
  <w:footnote w:type="continuationSeparator" w:id="0">
    <w:p w:rsidR="00211199" w:rsidRDefault="00211199">
      <w:r>
        <w:continuationSeparator/>
      </w:r>
    </w:p>
  </w:footnote>
  <w:footnote w:id="1">
    <w:p w:rsidR="00CA6A53" w:rsidRDefault="00342785" w:rsidP="00CA6A5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Edukacji i Nauki</w:t>
      </w:r>
      <w:r w:rsidRPr="009A4F81">
        <w:t xml:space="preserve"> kieruje działem administracji rządowej – oświata</w:t>
      </w:r>
      <w:r>
        <w:t xml:space="preserve"> i wychowanie, na podstawie § 1 </w:t>
      </w:r>
      <w:r w:rsidRPr="009A4F81">
        <w:t xml:space="preserve">ust. 2 </w:t>
      </w:r>
      <w:r>
        <w:t xml:space="preserve">pkt 1 </w:t>
      </w:r>
      <w:r w:rsidRPr="009A4F81">
        <w:t xml:space="preserve">rozporządzenia Prezesa Rady Ministrów z dnia </w:t>
      </w:r>
      <w:r>
        <w:t>20 października 2020</w:t>
      </w:r>
      <w:r w:rsidRPr="009A4F81">
        <w:t xml:space="preserve"> r. w sprawie szczegółowego zakresu dział</w:t>
      </w:r>
      <w:r>
        <w:t>ania Ministra Edukacji i Nauki</w:t>
      </w:r>
      <w:r w:rsidRPr="009A4F81">
        <w:t xml:space="preserve"> (Dz. U. </w:t>
      </w:r>
      <w:r>
        <w:t>z 2022 r. poz. 18</w:t>
      </w:r>
      <w:r w:rsidRPr="009A4F81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53" w:rsidRPr="00B371CC" w:rsidRDefault="00342785" w:rsidP="00CA6A53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94F4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4098931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C0BEB4F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F6264C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32AD9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4070632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CCC092F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94C0FE1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C562D77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3516D3A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CFF6A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16CCCC" w:tentative="1">
      <w:start w:val="1"/>
      <w:numFmt w:val="lowerLetter"/>
      <w:lvlText w:val="%2."/>
      <w:lvlJc w:val="left"/>
      <w:pPr>
        <w:ind w:left="1440" w:hanging="360"/>
      </w:pPr>
    </w:lvl>
    <w:lvl w:ilvl="2" w:tplc="64F8F5B8" w:tentative="1">
      <w:start w:val="1"/>
      <w:numFmt w:val="lowerRoman"/>
      <w:lvlText w:val="%3."/>
      <w:lvlJc w:val="right"/>
      <w:pPr>
        <w:ind w:left="2160" w:hanging="180"/>
      </w:pPr>
    </w:lvl>
    <w:lvl w:ilvl="3" w:tplc="50F67252" w:tentative="1">
      <w:start w:val="1"/>
      <w:numFmt w:val="decimal"/>
      <w:lvlText w:val="%4."/>
      <w:lvlJc w:val="left"/>
      <w:pPr>
        <w:ind w:left="2880" w:hanging="360"/>
      </w:pPr>
    </w:lvl>
    <w:lvl w:ilvl="4" w:tplc="1EB0C540" w:tentative="1">
      <w:start w:val="1"/>
      <w:numFmt w:val="lowerLetter"/>
      <w:lvlText w:val="%5."/>
      <w:lvlJc w:val="left"/>
      <w:pPr>
        <w:ind w:left="3600" w:hanging="360"/>
      </w:pPr>
    </w:lvl>
    <w:lvl w:ilvl="5" w:tplc="C332C808" w:tentative="1">
      <w:start w:val="1"/>
      <w:numFmt w:val="lowerRoman"/>
      <w:lvlText w:val="%6."/>
      <w:lvlJc w:val="right"/>
      <w:pPr>
        <w:ind w:left="4320" w:hanging="180"/>
      </w:pPr>
    </w:lvl>
    <w:lvl w:ilvl="6" w:tplc="8208DEBE" w:tentative="1">
      <w:start w:val="1"/>
      <w:numFmt w:val="decimal"/>
      <w:lvlText w:val="%7."/>
      <w:lvlJc w:val="left"/>
      <w:pPr>
        <w:ind w:left="5040" w:hanging="360"/>
      </w:pPr>
    </w:lvl>
    <w:lvl w:ilvl="7" w:tplc="C20A9F2A" w:tentative="1">
      <w:start w:val="1"/>
      <w:numFmt w:val="lowerLetter"/>
      <w:lvlText w:val="%8."/>
      <w:lvlJc w:val="left"/>
      <w:pPr>
        <w:ind w:left="5760" w:hanging="360"/>
      </w:pPr>
    </w:lvl>
    <w:lvl w:ilvl="8" w:tplc="87E61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A400177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CDE41C42" w:tentative="1">
      <w:start w:val="1"/>
      <w:numFmt w:val="lowerLetter"/>
      <w:lvlText w:val="%2."/>
      <w:lvlJc w:val="left"/>
      <w:pPr>
        <w:ind w:left="2463" w:hanging="360"/>
      </w:pPr>
    </w:lvl>
    <w:lvl w:ilvl="2" w:tplc="716820D6" w:tentative="1">
      <w:start w:val="1"/>
      <w:numFmt w:val="lowerRoman"/>
      <w:lvlText w:val="%3."/>
      <w:lvlJc w:val="right"/>
      <w:pPr>
        <w:ind w:left="3183" w:hanging="180"/>
      </w:pPr>
    </w:lvl>
    <w:lvl w:ilvl="3" w:tplc="FAF40D0C" w:tentative="1">
      <w:start w:val="1"/>
      <w:numFmt w:val="decimal"/>
      <w:lvlText w:val="%4."/>
      <w:lvlJc w:val="left"/>
      <w:pPr>
        <w:ind w:left="3903" w:hanging="360"/>
      </w:pPr>
    </w:lvl>
    <w:lvl w:ilvl="4" w:tplc="E87C6FD2" w:tentative="1">
      <w:start w:val="1"/>
      <w:numFmt w:val="lowerLetter"/>
      <w:lvlText w:val="%5."/>
      <w:lvlJc w:val="left"/>
      <w:pPr>
        <w:ind w:left="4623" w:hanging="360"/>
      </w:pPr>
    </w:lvl>
    <w:lvl w:ilvl="5" w:tplc="30BCF260" w:tentative="1">
      <w:start w:val="1"/>
      <w:numFmt w:val="lowerRoman"/>
      <w:lvlText w:val="%6."/>
      <w:lvlJc w:val="right"/>
      <w:pPr>
        <w:ind w:left="5343" w:hanging="180"/>
      </w:pPr>
    </w:lvl>
    <w:lvl w:ilvl="6" w:tplc="11CE90A4" w:tentative="1">
      <w:start w:val="1"/>
      <w:numFmt w:val="decimal"/>
      <w:lvlText w:val="%7."/>
      <w:lvlJc w:val="left"/>
      <w:pPr>
        <w:ind w:left="6063" w:hanging="360"/>
      </w:pPr>
    </w:lvl>
    <w:lvl w:ilvl="7" w:tplc="88A0F388" w:tentative="1">
      <w:start w:val="1"/>
      <w:numFmt w:val="lowerLetter"/>
      <w:lvlText w:val="%8."/>
      <w:lvlJc w:val="left"/>
      <w:pPr>
        <w:ind w:left="6783" w:hanging="360"/>
      </w:pPr>
    </w:lvl>
    <w:lvl w:ilvl="8" w:tplc="30EE7AD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51D6D2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304BF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4BA2042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39E68F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7D80373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B7C4524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6CA96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D82F84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86BAED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3BA801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0F27AD0" w:tentative="1">
      <w:start w:val="1"/>
      <w:numFmt w:val="lowerLetter"/>
      <w:lvlText w:val="%2."/>
      <w:lvlJc w:val="left"/>
      <w:pPr>
        <w:ind w:left="1440" w:hanging="360"/>
      </w:pPr>
    </w:lvl>
    <w:lvl w:ilvl="2" w:tplc="EAAECD18" w:tentative="1">
      <w:start w:val="1"/>
      <w:numFmt w:val="lowerRoman"/>
      <w:lvlText w:val="%3."/>
      <w:lvlJc w:val="right"/>
      <w:pPr>
        <w:ind w:left="2160" w:hanging="180"/>
      </w:pPr>
    </w:lvl>
    <w:lvl w:ilvl="3" w:tplc="A1B4E49E" w:tentative="1">
      <w:start w:val="1"/>
      <w:numFmt w:val="decimal"/>
      <w:lvlText w:val="%4."/>
      <w:lvlJc w:val="left"/>
      <w:pPr>
        <w:ind w:left="2880" w:hanging="360"/>
      </w:pPr>
    </w:lvl>
    <w:lvl w:ilvl="4" w:tplc="193EE178" w:tentative="1">
      <w:start w:val="1"/>
      <w:numFmt w:val="lowerLetter"/>
      <w:lvlText w:val="%5."/>
      <w:lvlJc w:val="left"/>
      <w:pPr>
        <w:ind w:left="3600" w:hanging="360"/>
      </w:pPr>
    </w:lvl>
    <w:lvl w:ilvl="5" w:tplc="4D042AA2" w:tentative="1">
      <w:start w:val="1"/>
      <w:numFmt w:val="lowerRoman"/>
      <w:lvlText w:val="%6."/>
      <w:lvlJc w:val="right"/>
      <w:pPr>
        <w:ind w:left="4320" w:hanging="180"/>
      </w:pPr>
    </w:lvl>
    <w:lvl w:ilvl="6" w:tplc="FF6449E2" w:tentative="1">
      <w:start w:val="1"/>
      <w:numFmt w:val="decimal"/>
      <w:lvlText w:val="%7."/>
      <w:lvlJc w:val="left"/>
      <w:pPr>
        <w:ind w:left="5040" w:hanging="360"/>
      </w:pPr>
    </w:lvl>
    <w:lvl w:ilvl="7" w:tplc="EE42F102" w:tentative="1">
      <w:start w:val="1"/>
      <w:numFmt w:val="lowerLetter"/>
      <w:lvlText w:val="%8."/>
      <w:lvlJc w:val="left"/>
      <w:pPr>
        <w:ind w:left="5760" w:hanging="360"/>
      </w:pPr>
    </w:lvl>
    <w:lvl w:ilvl="8" w:tplc="715A2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110EBBD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9D321302" w:tentative="1">
      <w:start w:val="1"/>
      <w:numFmt w:val="lowerLetter"/>
      <w:lvlText w:val="%2."/>
      <w:lvlJc w:val="left"/>
      <w:pPr>
        <w:ind w:left="3348" w:hanging="360"/>
      </w:pPr>
    </w:lvl>
    <w:lvl w:ilvl="2" w:tplc="AD52BC4E" w:tentative="1">
      <w:start w:val="1"/>
      <w:numFmt w:val="lowerRoman"/>
      <w:lvlText w:val="%3."/>
      <w:lvlJc w:val="right"/>
      <w:pPr>
        <w:ind w:left="4068" w:hanging="180"/>
      </w:pPr>
    </w:lvl>
    <w:lvl w:ilvl="3" w:tplc="88F6D1D8" w:tentative="1">
      <w:start w:val="1"/>
      <w:numFmt w:val="decimal"/>
      <w:lvlText w:val="%4."/>
      <w:lvlJc w:val="left"/>
      <w:pPr>
        <w:ind w:left="4788" w:hanging="360"/>
      </w:pPr>
    </w:lvl>
    <w:lvl w:ilvl="4" w:tplc="FFE23718" w:tentative="1">
      <w:start w:val="1"/>
      <w:numFmt w:val="lowerLetter"/>
      <w:lvlText w:val="%5."/>
      <w:lvlJc w:val="left"/>
      <w:pPr>
        <w:ind w:left="5508" w:hanging="360"/>
      </w:pPr>
    </w:lvl>
    <w:lvl w:ilvl="5" w:tplc="14207774" w:tentative="1">
      <w:start w:val="1"/>
      <w:numFmt w:val="lowerRoman"/>
      <w:lvlText w:val="%6."/>
      <w:lvlJc w:val="right"/>
      <w:pPr>
        <w:ind w:left="6228" w:hanging="180"/>
      </w:pPr>
    </w:lvl>
    <w:lvl w:ilvl="6" w:tplc="372E519C" w:tentative="1">
      <w:start w:val="1"/>
      <w:numFmt w:val="decimal"/>
      <w:lvlText w:val="%7."/>
      <w:lvlJc w:val="left"/>
      <w:pPr>
        <w:ind w:left="6948" w:hanging="360"/>
      </w:pPr>
    </w:lvl>
    <w:lvl w:ilvl="7" w:tplc="43E046F4" w:tentative="1">
      <w:start w:val="1"/>
      <w:numFmt w:val="lowerLetter"/>
      <w:lvlText w:val="%8."/>
      <w:lvlJc w:val="left"/>
      <w:pPr>
        <w:ind w:left="7668" w:hanging="360"/>
      </w:pPr>
    </w:lvl>
    <w:lvl w:ilvl="8" w:tplc="8DC8BC6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C40CB7E6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9E6AD89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47ACC5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1178856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B1545AD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39FCE29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92B0054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15D00DF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491C426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25049518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5D18F0C0" w:tentative="1">
      <w:start w:val="1"/>
      <w:numFmt w:val="lowerLetter"/>
      <w:lvlText w:val="%2."/>
      <w:lvlJc w:val="left"/>
      <w:pPr>
        <w:ind w:left="2463" w:hanging="360"/>
      </w:pPr>
    </w:lvl>
    <w:lvl w:ilvl="2" w:tplc="B164E74E" w:tentative="1">
      <w:start w:val="1"/>
      <w:numFmt w:val="lowerRoman"/>
      <w:lvlText w:val="%3."/>
      <w:lvlJc w:val="right"/>
      <w:pPr>
        <w:ind w:left="3183" w:hanging="180"/>
      </w:pPr>
    </w:lvl>
    <w:lvl w:ilvl="3" w:tplc="2E82758E" w:tentative="1">
      <w:start w:val="1"/>
      <w:numFmt w:val="decimal"/>
      <w:lvlText w:val="%4."/>
      <w:lvlJc w:val="left"/>
      <w:pPr>
        <w:ind w:left="3903" w:hanging="360"/>
      </w:pPr>
    </w:lvl>
    <w:lvl w:ilvl="4" w:tplc="2F7E4F80" w:tentative="1">
      <w:start w:val="1"/>
      <w:numFmt w:val="lowerLetter"/>
      <w:lvlText w:val="%5."/>
      <w:lvlJc w:val="left"/>
      <w:pPr>
        <w:ind w:left="4623" w:hanging="360"/>
      </w:pPr>
    </w:lvl>
    <w:lvl w:ilvl="5" w:tplc="6D9C7992" w:tentative="1">
      <w:start w:val="1"/>
      <w:numFmt w:val="lowerRoman"/>
      <w:lvlText w:val="%6."/>
      <w:lvlJc w:val="right"/>
      <w:pPr>
        <w:ind w:left="5343" w:hanging="180"/>
      </w:pPr>
    </w:lvl>
    <w:lvl w:ilvl="6" w:tplc="4CFCDADE" w:tentative="1">
      <w:start w:val="1"/>
      <w:numFmt w:val="decimal"/>
      <w:lvlText w:val="%7."/>
      <w:lvlJc w:val="left"/>
      <w:pPr>
        <w:ind w:left="6063" w:hanging="360"/>
      </w:pPr>
    </w:lvl>
    <w:lvl w:ilvl="7" w:tplc="19A67F60" w:tentative="1">
      <w:start w:val="1"/>
      <w:numFmt w:val="lowerLetter"/>
      <w:lvlText w:val="%8."/>
      <w:lvlJc w:val="left"/>
      <w:pPr>
        <w:ind w:left="6783" w:hanging="360"/>
      </w:pPr>
    </w:lvl>
    <w:lvl w:ilvl="8" w:tplc="04DE399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CF86F9E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7BCEF190" w:tentative="1">
      <w:start w:val="1"/>
      <w:numFmt w:val="lowerLetter"/>
      <w:lvlText w:val="%2."/>
      <w:lvlJc w:val="left"/>
      <w:pPr>
        <w:ind w:left="2463" w:hanging="360"/>
      </w:pPr>
    </w:lvl>
    <w:lvl w:ilvl="2" w:tplc="B7A0025E" w:tentative="1">
      <w:start w:val="1"/>
      <w:numFmt w:val="lowerRoman"/>
      <w:lvlText w:val="%3."/>
      <w:lvlJc w:val="right"/>
      <w:pPr>
        <w:ind w:left="3183" w:hanging="180"/>
      </w:pPr>
    </w:lvl>
    <w:lvl w:ilvl="3" w:tplc="11705A8A" w:tentative="1">
      <w:start w:val="1"/>
      <w:numFmt w:val="decimal"/>
      <w:lvlText w:val="%4."/>
      <w:lvlJc w:val="left"/>
      <w:pPr>
        <w:ind w:left="3903" w:hanging="360"/>
      </w:pPr>
    </w:lvl>
    <w:lvl w:ilvl="4" w:tplc="C1428A3A" w:tentative="1">
      <w:start w:val="1"/>
      <w:numFmt w:val="lowerLetter"/>
      <w:lvlText w:val="%5."/>
      <w:lvlJc w:val="left"/>
      <w:pPr>
        <w:ind w:left="4623" w:hanging="360"/>
      </w:pPr>
    </w:lvl>
    <w:lvl w:ilvl="5" w:tplc="728CEA80" w:tentative="1">
      <w:start w:val="1"/>
      <w:numFmt w:val="lowerRoman"/>
      <w:lvlText w:val="%6."/>
      <w:lvlJc w:val="right"/>
      <w:pPr>
        <w:ind w:left="5343" w:hanging="180"/>
      </w:pPr>
    </w:lvl>
    <w:lvl w:ilvl="6" w:tplc="B14C391E" w:tentative="1">
      <w:start w:val="1"/>
      <w:numFmt w:val="decimal"/>
      <w:lvlText w:val="%7."/>
      <w:lvlJc w:val="left"/>
      <w:pPr>
        <w:ind w:left="6063" w:hanging="360"/>
      </w:pPr>
    </w:lvl>
    <w:lvl w:ilvl="7" w:tplc="9B5C8484" w:tentative="1">
      <w:start w:val="1"/>
      <w:numFmt w:val="lowerLetter"/>
      <w:lvlText w:val="%8."/>
      <w:lvlJc w:val="left"/>
      <w:pPr>
        <w:ind w:left="6783" w:hanging="360"/>
      </w:pPr>
    </w:lvl>
    <w:lvl w:ilvl="8" w:tplc="4CF2600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6A06064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05C3592" w:tentative="1">
      <w:start w:val="1"/>
      <w:numFmt w:val="lowerLetter"/>
      <w:lvlText w:val="%2."/>
      <w:lvlJc w:val="left"/>
      <w:pPr>
        <w:ind w:left="3348" w:hanging="360"/>
      </w:pPr>
    </w:lvl>
    <w:lvl w:ilvl="2" w:tplc="77848A78" w:tentative="1">
      <w:start w:val="1"/>
      <w:numFmt w:val="lowerRoman"/>
      <w:lvlText w:val="%3."/>
      <w:lvlJc w:val="right"/>
      <w:pPr>
        <w:ind w:left="4068" w:hanging="180"/>
      </w:pPr>
    </w:lvl>
    <w:lvl w:ilvl="3" w:tplc="8AFC7D38" w:tentative="1">
      <w:start w:val="1"/>
      <w:numFmt w:val="decimal"/>
      <w:lvlText w:val="%4."/>
      <w:lvlJc w:val="left"/>
      <w:pPr>
        <w:ind w:left="4788" w:hanging="360"/>
      </w:pPr>
    </w:lvl>
    <w:lvl w:ilvl="4" w:tplc="372868B6" w:tentative="1">
      <w:start w:val="1"/>
      <w:numFmt w:val="lowerLetter"/>
      <w:lvlText w:val="%5."/>
      <w:lvlJc w:val="left"/>
      <w:pPr>
        <w:ind w:left="5508" w:hanging="360"/>
      </w:pPr>
    </w:lvl>
    <w:lvl w:ilvl="5" w:tplc="84B80CBC" w:tentative="1">
      <w:start w:val="1"/>
      <w:numFmt w:val="lowerRoman"/>
      <w:lvlText w:val="%6."/>
      <w:lvlJc w:val="right"/>
      <w:pPr>
        <w:ind w:left="6228" w:hanging="180"/>
      </w:pPr>
    </w:lvl>
    <w:lvl w:ilvl="6" w:tplc="EE62DD98" w:tentative="1">
      <w:start w:val="1"/>
      <w:numFmt w:val="decimal"/>
      <w:lvlText w:val="%7."/>
      <w:lvlJc w:val="left"/>
      <w:pPr>
        <w:ind w:left="6948" w:hanging="360"/>
      </w:pPr>
    </w:lvl>
    <w:lvl w:ilvl="7" w:tplc="933CE670" w:tentative="1">
      <w:start w:val="1"/>
      <w:numFmt w:val="lowerLetter"/>
      <w:lvlText w:val="%8."/>
      <w:lvlJc w:val="left"/>
      <w:pPr>
        <w:ind w:left="7668" w:hanging="360"/>
      </w:pPr>
    </w:lvl>
    <w:lvl w:ilvl="8" w:tplc="FF14699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12"/>
    <w:rsid w:val="00211199"/>
    <w:rsid w:val="00342785"/>
    <w:rsid w:val="008B3E12"/>
    <w:rsid w:val="00D9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5C556B-2A2C-4473-A9B8-57B45F35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2022-03-31T10:04:00Z</dcterms:created>
  <dcterms:modified xsi:type="dcterms:W3CDTF">2022-03-31T10:04:00Z</dcterms:modified>
</cp:coreProperties>
</file>