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5A4E" w14:textId="77777777" w:rsidR="00E97443" w:rsidRDefault="00E97443" w:rsidP="00713591">
      <w:pPr>
        <w:spacing w:line="276" w:lineRule="auto"/>
        <w:jc w:val="center"/>
        <w:rPr>
          <w:rFonts w:ascii="Times New Roman" w:hAnsi="Times New Roman"/>
          <w:b/>
        </w:rPr>
      </w:pPr>
    </w:p>
    <w:p w14:paraId="1F6ADA66" w14:textId="77777777" w:rsidR="0050550A" w:rsidRPr="008E5FB3" w:rsidRDefault="00EE593F" w:rsidP="00713591">
      <w:pPr>
        <w:spacing w:line="276" w:lineRule="auto"/>
        <w:jc w:val="center"/>
        <w:rPr>
          <w:rFonts w:ascii="Times New Roman" w:hAnsi="Times New Roman"/>
          <w:b/>
        </w:rPr>
      </w:pPr>
      <w:r w:rsidRPr="008E5FB3">
        <w:rPr>
          <w:rFonts w:ascii="Times New Roman" w:hAnsi="Times New Roman"/>
          <w:b/>
        </w:rPr>
        <w:t>UZASADNIENIE</w:t>
      </w:r>
    </w:p>
    <w:p w14:paraId="61494BFA" w14:textId="77777777" w:rsidR="00125AB4" w:rsidRPr="008E5FB3" w:rsidRDefault="00125AB4" w:rsidP="00713591">
      <w:pPr>
        <w:spacing w:line="276" w:lineRule="auto"/>
        <w:jc w:val="both"/>
        <w:rPr>
          <w:rFonts w:ascii="Times New Roman" w:hAnsi="Times New Roman"/>
        </w:rPr>
      </w:pPr>
    </w:p>
    <w:p w14:paraId="53F49641" w14:textId="2F349BAA" w:rsidR="00041145" w:rsidRPr="00CE13F3" w:rsidRDefault="00CC298B" w:rsidP="00713591">
      <w:pPr>
        <w:pStyle w:val="Akapitzlist"/>
        <w:numPr>
          <w:ilvl w:val="0"/>
          <w:numId w:val="4"/>
        </w:numPr>
        <w:suppressAutoHyphens/>
        <w:autoSpaceDE w:val="0"/>
        <w:autoSpaceDN w:val="0"/>
        <w:adjustRightInd w:val="0"/>
        <w:spacing w:line="276" w:lineRule="auto"/>
        <w:jc w:val="both"/>
        <w:rPr>
          <w:rFonts w:ascii="Times New Roman" w:eastAsia="Times New Roman" w:hAnsi="Times New Roman"/>
          <w:b/>
          <w:bCs/>
          <w:lang w:eastAsia="pl-PL"/>
        </w:rPr>
      </w:pPr>
      <w:r w:rsidRPr="00CE13F3">
        <w:rPr>
          <w:rFonts w:ascii="Times New Roman" w:eastAsia="Times New Roman" w:hAnsi="Times New Roman"/>
          <w:b/>
          <w:bCs/>
          <w:lang w:eastAsia="pl-PL"/>
        </w:rPr>
        <w:t>Cel ustawy</w:t>
      </w:r>
    </w:p>
    <w:p w14:paraId="7B0B72CD" w14:textId="77777777" w:rsidR="00CE13F3" w:rsidRPr="00CE13F3" w:rsidRDefault="00CE13F3" w:rsidP="00713591">
      <w:pPr>
        <w:pStyle w:val="Akapitzlist"/>
        <w:suppressAutoHyphens/>
        <w:autoSpaceDE w:val="0"/>
        <w:autoSpaceDN w:val="0"/>
        <w:adjustRightInd w:val="0"/>
        <w:spacing w:line="276" w:lineRule="auto"/>
        <w:ind w:left="1080"/>
        <w:jc w:val="both"/>
        <w:rPr>
          <w:rFonts w:ascii="Times New Roman" w:eastAsia="Times New Roman" w:hAnsi="Times New Roman"/>
          <w:b/>
          <w:bCs/>
          <w:lang w:eastAsia="pl-PL"/>
        </w:rPr>
      </w:pPr>
    </w:p>
    <w:p w14:paraId="69350CAF" w14:textId="0EDAD075" w:rsidR="00914A45" w:rsidRPr="008E5FB3" w:rsidRDefault="009246BD" w:rsidP="00713591">
      <w:pPr>
        <w:spacing w:line="276" w:lineRule="auto"/>
        <w:jc w:val="both"/>
        <w:rPr>
          <w:rFonts w:ascii="Times New Roman" w:eastAsia="Times New Roman" w:hAnsi="Times New Roman"/>
          <w:lang w:eastAsia="pl-PL"/>
        </w:rPr>
      </w:pPr>
      <w:r w:rsidRPr="008E5FB3">
        <w:rPr>
          <w:rFonts w:ascii="Times New Roman" w:eastAsia="Times New Roman" w:hAnsi="Times New Roman"/>
          <w:lang w:eastAsia="pl-PL"/>
        </w:rPr>
        <w:t>Przeprowadzone w Ministerstwie Finansów prace analityczne</w:t>
      </w:r>
      <w:r w:rsidR="00BC2B58" w:rsidRPr="008E5FB3">
        <w:rPr>
          <w:rFonts w:ascii="Times New Roman" w:eastAsia="Times New Roman" w:hAnsi="Times New Roman"/>
          <w:lang w:eastAsia="pl-PL"/>
        </w:rPr>
        <w:t xml:space="preserve"> </w:t>
      </w:r>
      <w:r w:rsidR="00901B1C" w:rsidRPr="008E5FB3">
        <w:rPr>
          <w:rFonts w:ascii="Times New Roman" w:eastAsia="Times New Roman" w:hAnsi="Times New Roman"/>
          <w:lang w:eastAsia="pl-PL"/>
        </w:rPr>
        <w:t xml:space="preserve">dotyczące </w:t>
      </w:r>
      <w:r w:rsidR="00BC2B58" w:rsidRPr="008E5FB3">
        <w:rPr>
          <w:rFonts w:ascii="Times New Roman" w:eastAsia="Times New Roman" w:hAnsi="Times New Roman"/>
          <w:lang w:eastAsia="pl-PL"/>
        </w:rPr>
        <w:t xml:space="preserve">obowiązujących przepisów ustawy z dnia 27 sierpnia 2009 r. </w:t>
      </w:r>
      <w:r w:rsidR="00BC2B58" w:rsidRPr="008E5FB3">
        <w:rPr>
          <w:rFonts w:ascii="Times New Roman" w:eastAsia="Times New Roman" w:hAnsi="Times New Roman"/>
          <w:i/>
          <w:lang w:eastAsia="pl-PL"/>
        </w:rPr>
        <w:t>o finansach publicznych</w:t>
      </w:r>
      <w:r w:rsidR="00BC2B58" w:rsidRPr="008E5FB3">
        <w:rPr>
          <w:rFonts w:ascii="Times New Roman" w:eastAsia="Times New Roman" w:hAnsi="Times New Roman"/>
          <w:lang w:eastAsia="pl-PL"/>
        </w:rPr>
        <w:t xml:space="preserve"> </w:t>
      </w:r>
      <w:r w:rsidR="00DA3394">
        <w:rPr>
          <w:rFonts w:ascii="Times New Roman" w:eastAsia="Times New Roman" w:hAnsi="Times New Roman"/>
          <w:lang w:eastAsia="pl-PL"/>
        </w:rPr>
        <w:t>(Dz. U. z 2021 r. poz. 305</w:t>
      </w:r>
      <w:r w:rsidR="00793D56">
        <w:rPr>
          <w:rFonts w:ascii="Times New Roman" w:eastAsia="Times New Roman" w:hAnsi="Times New Roman"/>
          <w:lang w:eastAsia="pl-PL"/>
        </w:rPr>
        <w:t xml:space="preserve">, z </w:t>
      </w:r>
      <w:proofErr w:type="spellStart"/>
      <w:r w:rsidR="00793D56">
        <w:rPr>
          <w:rFonts w:ascii="Times New Roman" w:eastAsia="Times New Roman" w:hAnsi="Times New Roman"/>
          <w:lang w:eastAsia="pl-PL"/>
        </w:rPr>
        <w:t>późn</w:t>
      </w:r>
      <w:proofErr w:type="spellEnd"/>
      <w:r w:rsidR="00793D56">
        <w:rPr>
          <w:rFonts w:ascii="Times New Roman" w:eastAsia="Times New Roman" w:hAnsi="Times New Roman"/>
          <w:lang w:eastAsia="pl-PL"/>
        </w:rPr>
        <w:t>. zm.</w:t>
      </w:r>
      <w:r w:rsidR="00DA3394">
        <w:rPr>
          <w:rFonts w:ascii="Times New Roman" w:eastAsia="Times New Roman" w:hAnsi="Times New Roman"/>
          <w:lang w:eastAsia="pl-PL"/>
        </w:rPr>
        <w:t xml:space="preserve">) </w:t>
      </w:r>
      <w:r w:rsidRPr="008E5FB3">
        <w:rPr>
          <w:rFonts w:ascii="Times New Roman" w:eastAsia="Times New Roman" w:hAnsi="Times New Roman"/>
          <w:lang w:eastAsia="pl-PL"/>
        </w:rPr>
        <w:t>pozwoliły na zidentyfikowanie regulacji, które wymaga</w:t>
      </w:r>
      <w:r w:rsidR="00FF0996" w:rsidRPr="008E5FB3">
        <w:rPr>
          <w:rFonts w:ascii="Times New Roman" w:eastAsia="Times New Roman" w:hAnsi="Times New Roman"/>
          <w:lang w:eastAsia="pl-PL"/>
        </w:rPr>
        <w:t>ją</w:t>
      </w:r>
      <w:r w:rsidRPr="008E5FB3">
        <w:rPr>
          <w:rFonts w:ascii="Times New Roman" w:eastAsia="Times New Roman" w:hAnsi="Times New Roman"/>
          <w:lang w:eastAsia="pl-PL"/>
        </w:rPr>
        <w:t xml:space="preserve"> </w:t>
      </w:r>
      <w:r w:rsidR="00914A45" w:rsidRPr="008E5FB3">
        <w:rPr>
          <w:rFonts w:ascii="Times New Roman" w:eastAsia="Times New Roman" w:hAnsi="Times New Roman"/>
          <w:lang w:eastAsia="pl-PL"/>
        </w:rPr>
        <w:t>zmiany</w:t>
      </w:r>
      <w:r w:rsidR="00B235D3" w:rsidRPr="008E5FB3">
        <w:rPr>
          <w:rFonts w:ascii="Times New Roman" w:eastAsia="Times New Roman" w:hAnsi="Times New Roman"/>
          <w:lang w:eastAsia="pl-PL"/>
        </w:rPr>
        <w:t xml:space="preserve"> i </w:t>
      </w:r>
      <w:r w:rsidR="00FC2ABD" w:rsidRPr="008E5FB3">
        <w:rPr>
          <w:rFonts w:ascii="Times New Roman" w:eastAsia="Times New Roman" w:hAnsi="Times New Roman"/>
          <w:lang w:eastAsia="pl-PL"/>
        </w:rPr>
        <w:t xml:space="preserve">uproszczenia. </w:t>
      </w:r>
      <w:r w:rsidR="00FF0996" w:rsidRPr="008E5FB3">
        <w:rPr>
          <w:rFonts w:ascii="Times New Roman" w:eastAsia="Times New Roman" w:hAnsi="Times New Roman"/>
          <w:lang w:eastAsia="pl-PL"/>
        </w:rPr>
        <w:t>Z</w:t>
      </w:r>
      <w:r w:rsidR="00914A45" w:rsidRPr="008E5FB3">
        <w:rPr>
          <w:rFonts w:ascii="Times New Roman" w:eastAsia="Times New Roman" w:hAnsi="Times New Roman"/>
          <w:lang w:eastAsia="pl-PL"/>
        </w:rPr>
        <w:t xml:space="preserve">aproponowano rozwiązania, które mają </w:t>
      </w:r>
      <w:r w:rsidR="0038031B" w:rsidRPr="008E5FB3">
        <w:rPr>
          <w:rFonts w:ascii="Times New Roman" w:eastAsia="Times New Roman" w:hAnsi="Times New Roman"/>
          <w:lang w:eastAsia="pl-PL"/>
        </w:rPr>
        <w:t xml:space="preserve">zapewnić </w:t>
      </w:r>
      <w:r w:rsidR="00914A45" w:rsidRPr="008E5FB3">
        <w:rPr>
          <w:rFonts w:ascii="Times New Roman" w:eastAsia="Times New Roman" w:hAnsi="Times New Roman"/>
          <w:lang w:eastAsia="pl-PL"/>
        </w:rPr>
        <w:t>elastyczne</w:t>
      </w:r>
      <w:r w:rsidR="00FC2ABD" w:rsidRPr="008E5FB3">
        <w:rPr>
          <w:rFonts w:ascii="Times New Roman" w:eastAsia="Times New Roman" w:hAnsi="Times New Roman"/>
          <w:lang w:eastAsia="pl-PL"/>
        </w:rPr>
        <w:t xml:space="preserve"> i </w:t>
      </w:r>
      <w:r w:rsidR="00AA6C04" w:rsidRPr="008E5FB3">
        <w:rPr>
          <w:rFonts w:ascii="Times New Roman" w:eastAsia="Times New Roman" w:hAnsi="Times New Roman"/>
          <w:lang w:eastAsia="pl-PL"/>
        </w:rPr>
        <w:t xml:space="preserve">bardziej </w:t>
      </w:r>
      <w:r w:rsidR="00914A45" w:rsidRPr="008E5FB3">
        <w:rPr>
          <w:rFonts w:ascii="Times New Roman" w:eastAsia="Times New Roman" w:hAnsi="Times New Roman"/>
          <w:lang w:eastAsia="pl-PL"/>
        </w:rPr>
        <w:t>efektywne</w:t>
      </w:r>
      <w:r w:rsidR="00BF4B8C" w:rsidRPr="008E5FB3">
        <w:rPr>
          <w:rFonts w:ascii="Times New Roman" w:eastAsia="Times New Roman" w:hAnsi="Times New Roman"/>
          <w:lang w:eastAsia="pl-PL"/>
        </w:rPr>
        <w:t xml:space="preserve"> </w:t>
      </w:r>
      <w:r w:rsidRPr="008E5FB3">
        <w:rPr>
          <w:rFonts w:ascii="Times New Roman" w:eastAsia="Times New Roman" w:hAnsi="Times New Roman"/>
          <w:lang w:eastAsia="pl-PL"/>
        </w:rPr>
        <w:t>zarządzani</w:t>
      </w:r>
      <w:r w:rsidR="00914A45" w:rsidRPr="008E5FB3">
        <w:rPr>
          <w:rFonts w:ascii="Times New Roman" w:eastAsia="Times New Roman" w:hAnsi="Times New Roman"/>
          <w:lang w:eastAsia="pl-PL"/>
        </w:rPr>
        <w:t>e</w:t>
      </w:r>
      <w:r w:rsidRPr="008E5FB3">
        <w:rPr>
          <w:rFonts w:ascii="Times New Roman" w:eastAsia="Times New Roman" w:hAnsi="Times New Roman"/>
          <w:lang w:eastAsia="pl-PL"/>
        </w:rPr>
        <w:t xml:space="preserve"> wydatkami budżetu państwa</w:t>
      </w:r>
      <w:r w:rsidR="00FF0996" w:rsidRPr="008E5FB3">
        <w:rPr>
          <w:rFonts w:ascii="Times New Roman" w:eastAsia="Times New Roman" w:hAnsi="Times New Roman"/>
          <w:lang w:eastAsia="pl-PL"/>
        </w:rPr>
        <w:t>, jak również</w:t>
      </w:r>
      <w:r w:rsidRPr="008E5FB3">
        <w:rPr>
          <w:rFonts w:ascii="Times New Roman" w:eastAsia="Times New Roman" w:hAnsi="Times New Roman"/>
          <w:lang w:eastAsia="pl-PL"/>
        </w:rPr>
        <w:t xml:space="preserve"> </w:t>
      </w:r>
      <w:r w:rsidR="00485E8E" w:rsidRPr="008E5FB3">
        <w:rPr>
          <w:rFonts w:ascii="Times New Roman" w:eastAsia="Times New Roman" w:hAnsi="Times New Roman"/>
          <w:lang w:eastAsia="pl-PL"/>
        </w:rPr>
        <w:t>usprawniające</w:t>
      </w:r>
      <w:r w:rsidR="00D90DFF" w:rsidRPr="008E5FB3">
        <w:rPr>
          <w:rFonts w:ascii="Times New Roman" w:eastAsia="Times New Roman" w:hAnsi="Times New Roman"/>
          <w:lang w:eastAsia="pl-PL"/>
        </w:rPr>
        <w:t xml:space="preserve"> i</w:t>
      </w:r>
      <w:r w:rsidR="00914A45" w:rsidRPr="008E5FB3">
        <w:rPr>
          <w:rFonts w:ascii="Times New Roman" w:eastAsia="Times New Roman" w:hAnsi="Times New Roman"/>
          <w:lang w:eastAsia="pl-PL"/>
        </w:rPr>
        <w:t>stniejące</w:t>
      </w:r>
      <w:r w:rsidRPr="008E5FB3">
        <w:rPr>
          <w:rFonts w:ascii="Times New Roman" w:eastAsia="Times New Roman" w:hAnsi="Times New Roman"/>
          <w:lang w:eastAsia="pl-PL"/>
        </w:rPr>
        <w:t xml:space="preserve"> </w:t>
      </w:r>
      <w:r w:rsidR="00914A45" w:rsidRPr="008E5FB3">
        <w:rPr>
          <w:rFonts w:ascii="Times New Roman" w:eastAsia="Times New Roman" w:hAnsi="Times New Roman"/>
          <w:lang w:eastAsia="pl-PL"/>
        </w:rPr>
        <w:t>instrumenty</w:t>
      </w:r>
      <w:r w:rsidR="00D90DFF" w:rsidRPr="008E5FB3">
        <w:rPr>
          <w:rFonts w:ascii="Times New Roman" w:eastAsia="Times New Roman" w:hAnsi="Times New Roman"/>
          <w:lang w:eastAsia="pl-PL"/>
        </w:rPr>
        <w:t xml:space="preserve"> zarządzania budżetem państwa</w:t>
      </w:r>
      <w:r w:rsidR="003660D6">
        <w:rPr>
          <w:rFonts w:ascii="Times New Roman" w:eastAsia="Times New Roman" w:hAnsi="Times New Roman"/>
          <w:lang w:eastAsia="pl-PL"/>
        </w:rPr>
        <w:t xml:space="preserve"> </w:t>
      </w:r>
      <w:r w:rsidR="00B93373" w:rsidRPr="00B93373">
        <w:rPr>
          <w:rFonts w:ascii="Times New Roman" w:eastAsia="Times New Roman" w:hAnsi="Times New Roman"/>
          <w:lang w:eastAsia="pl-PL"/>
        </w:rPr>
        <w:t>oraz długiem Skarbu Państwa.</w:t>
      </w:r>
      <w:r w:rsidR="00ED4A13">
        <w:rPr>
          <w:rFonts w:ascii="Times New Roman" w:eastAsia="Times New Roman" w:hAnsi="Times New Roman"/>
          <w:lang w:eastAsia="pl-PL"/>
        </w:rPr>
        <w:t xml:space="preserve"> Ponadto zaproponowano </w:t>
      </w:r>
      <w:r w:rsidR="00ED4A13" w:rsidRPr="00ED4A13">
        <w:rPr>
          <w:rFonts w:ascii="Times New Roman" w:eastAsia="Times New Roman" w:hAnsi="Times New Roman"/>
          <w:lang w:eastAsia="pl-PL"/>
        </w:rPr>
        <w:t xml:space="preserve">wprowadzenie </w:t>
      </w:r>
      <w:r w:rsidR="00BF6811">
        <w:rPr>
          <w:rFonts w:ascii="Times New Roman" w:eastAsia="Times New Roman" w:hAnsi="Times New Roman"/>
          <w:lang w:eastAsia="pl-PL"/>
        </w:rPr>
        <w:t>zmian w zakresie</w:t>
      </w:r>
      <w:r w:rsidR="00ED4A13" w:rsidRPr="00ED4A13">
        <w:rPr>
          <w:rFonts w:ascii="Times New Roman" w:eastAsia="Times New Roman" w:hAnsi="Times New Roman"/>
          <w:lang w:eastAsia="pl-PL"/>
        </w:rPr>
        <w:t xml:space="preserve"> przepisów </w:t>
      </w:r>
      <w:r w:rsidR="00BF6811">
        <w:rPr>
          <w:rFonts w:ascii="Times New Roman" w:eastAsia="Times New Roman" w:hAnsi="Times New Roman"/>
          <w:lang w:eastAsia="pl-PL"/>
        </w:rPr>
        <w:t>regulujących kontrolę zarządczą i audyt wewnętrzny</w:t>
      </w:r>
      <w:r w:rsidR="00ED4A13" w:rsidRPr="00ED4A13">
        <w:rPr>
          <w:rFonts w:ascii="Times New Roman" w:eastAsia="Times New Roman" w:hAnsi="Times New Roman"/>
          <w:lang w:eastAsia="pl-PL"/>
        </w:rPr>
        <w:t xml:space="preserve"> </w:t>
      </w:r>
      <w:r w:rsidR="00BF6811">
        <w:rPr>
          <w:rFonts w:ascii="Times New Roman" w:eastAsia="Times New Roman" w:hAnsi="Times New Roman"/>
          <w:lang w:eastAsia="pl-PL"/>
        </w:rPr>
        <w:t>jak również</w:t>
      </w:r>
      <w:r w:rsidR="00ED4A13" w:rsidRPr="00ED4A13">
        <w:rPr>
          <w:rFonts w:ascii="Times New Roman" w:eastAsia="Times New Roman" w:hAnsi="Times New Roman"/>
          <w:lang w:eastAsia="pl-PL"/>
        </w:rPr>
        <w:t xml:space="preserve"> wprowadzenie do systemu finansów publicznych przeglądów wydatków (instytucjonalizacja).</w:t>
      </w:r>
    </w:p>
    <w:p w14:paraId="333483F2" w14:textId="77777777" w:rsidR="00484EC2" w:rsidRPr="008E5FB3" w:rsidRDefault="00484EC2" w:rsidP="00713591">
      <w:pPr>
        <w:spacing w:line="276" w:lineRule="auto"/>
        <w:jc w:val="both"/>
        <w:rPr>
          <w:rFonts w:ascii="Times New Roman" w:eastAsia="Times New Roman" w:hAnsi="Times New Roman"/>
          <w:lang w:eastAsia="pl-PL"/>
        </w:rPr>
      </w:pPr>
    </w:p>
    <w:p w14:paraId="6E95E01F" w14:textId="06C3F283" w:rsidR="00ED4A13" w:rsidRDefault="00FC2ABD" w:rsidP="00713591">
      <w:pPr>
        <w:spacing w:line="276" w:lineRule="auto"/>
        <w:jc w:val="both"/>
        <w:rPr>
          <w:rFonts w:ascii="Times New Roman" w:eastAsia="Times New Roman" w:hAnsi="Times New Roman"/>
          <w:lang w:eastAsia="pl-PL"/>
        </w:rPr>
      </w:pPr>
      <w:r w:rsidRPr="008E5FB3">
        <w:rPr>
          <w:rFonts w:ascii="Times New Roman" w:eastAsia="Times New Roman" w:hAnsi="Times New Roman"/>
          <w:lang w:eastAsia="pl-PL"/>
        </w:rPr>
        <w:t>P</w:t>
      </w:r>
      <w:r w:rsidR="00901B1C" w:rsidRPr="008E5FB3">
        <w:rPr>
          <w:rFonts w:ascii="Times New Roman" w:eastAsia="Times New Roman" w:hAnsi="Times New Roman"/>
          <w:lang w:eastAsia="pl-PL"/>
        </w:rPr>
        <w:t>rojektowan</w:t>
      </w:r>
      <w:r w:rsidR="00914A45" w:rsidRPr="008E5FB3">
        <w:rPr>
          <w:rFonts w:ascii="Times New Roman" w:eastAsia="Times New Roman" w:hAnsi="Times New Roman"/>
          <w:lang w:eastAsia="pl-PL"/>
        </w:rPr>
        <w:t>e</w:t>
      </w:r>
      <w:r w:rsidR="00901B1C" w:rsidRPr="008E5FB3">
        <w:rPr>
          <w:rFonts w:ascii="Times New Roman" w:eastAsia="Times New Roman" w:hAnsi="Times New Roman"/>
          <w:lang w:eastAsia="pl-PL"/>
        </w:rPr>
        <w:t xml:space="preserve"> </w:t>
      </w:r>
      <w:r w:rsidR="00D90DFF" w:rsidRPr="008E5FB3">
        <w:rPr>
          <w:rFonts w:ascii="Times New Roman" w:eastAsia="Times New Roman" w:hAnsi="Times New Roman"/>
          <w:lang w:eastAsia="pl-PL"/>
        </w:rPr>
        <w:t>zmian</w:t>
      </w:r>
      <w:r w:rsidR="0038031B" w:rsidRPr="008E5FB3">
        <w:rPr>
          <w:rFonts w:ascii="Times New Roman" w:eastAsia="Times New Roman" w:hAnsi="Times New Roman"/>
          <w:lang w:eastAsia="pl-PL"/>
        </w:rPr>
        <w:t>y</w:t>
      </w:r>
      <w:r w:rsidR="00D90DFF" w:rsidRPr="008E5FB3">
        <w:rPr>
          <w:rFonts w:ascii="Times New Roman" w:eastAsia="Times New Roman" w:hAnsi="Times New Roman"/>
          <w:lang w:eastAsia="pl-PL"/>
        </w:rPr>
        <w:t xml:space="preserve"> </w:t>
      </w:r>
      <w:r w:rsidR="0038031B" w:rsidRPr="008E5FB3">
        <w:rPr>
          <w:rFonts w:ascii="Times New Roman" w:eastAsia="Times New Roman" w:hAnsi="Times New Roman"/>
          <w:lang w:eastAsia="pl-PL"/>
        </w:rPr>
        <w:t>mają</w:t>
      </w:r>
      <w:r w:rsidR="00914A45" w:rsidRPr="008E5FB3">
        <w:rPr>
          <w:rFonts w:ascii="Times New Roman" w:eastAsia="Times New Roman" w:hAnsi="Times New Roman"/>
          <w:lang w:eastAsia="pl-PL"/>
        </w:rPr>
        <w:t xml:space="preserve"> </w:t>
      </w:r>
      <w:r w:rsidR="00FF0996" w:rsidRPr="008E5FB3">
        <w:rPr>
          <w:rFonts w:ascii="Times New Roman" w:eastAsia="Times New Roman" w:hAnsi="Times New Roman"/>
          <w:lang w:eastAsia="pl-PL"/>
        </w:rPr>
        <w:t xml:space="preserve">jednocześnie </w:t>
      </w:r>
      <w:r w:rsidR="00914A45" w:rsidRPr="008E5FB3">
        <w:rPr>
          <w:rFonts w:ascii="Times New Roman" w:eastAsia="Times New Roman" w:hAnsi="Times New Roman"/>
          <w:lang w:eastAsia="pl-PL"/>
        </w:rPr>
        <w:t xml:space="preserve">na celu </w:t>
      </w:r>
      <w:r w:rsidR="00D90DFF" w:rsidRPr="008E5FB3">
        <w:rPr>
          <w:rFonts w:ascii="Times New Roman" w:eastAsia="Times New Roman" w:hAnsi="Times New Roman"/>
          <w:lang w:eastAsia="pl-PL"/>
        </w:rPr>
        <w:t xml:space="preserve">usunięcie </w:t>
      </w:r>
      <w:r w:rsidR="0038031B" w:rsidRPr="008E5FB3">
        <w:rPr>
          <w:rFonts w:ascii="Times New Roman" w:eastAsia="Times New Roman" w:hAnsi="Times New Roman"/>
          <w:lang w:eastAsia="pl-PL"/>
        </w:rPr>
        <w:t xml:space="preserve">zidentyfikowanych w przepisach systemowych </w:t>
      </w:r>
      <w:r w:rsidR="004B582B" w:rsidRPr="008E5FB3">
        <w:rPr>
          <w:rFonts w:ascii="Times New Roman" w:eastAsia="Times New Roman" w:hAnsi="Times New Roman"/>
          <w:lang w:eastAsia="pl-PL"/>
        </w:rPr>
        <w:t xml:space="preserve">wątpliwości, problemów </w:t>
      </w:r>
      <w:r w:rsidR="00901B1C" w:rsidRPr="008E5FB3">
        <w:rPr>
          <w:rFonts w:ascii="Times New Roman" w:eastAsia="Times New Roman" w:hAnsi="Times New Roman"/>
          <w:lang w:eastAsia="pl-PL"/>
        </w:rPr>
        <w:t>i niejasności natury prawnej</w:t>
      </w:r>
      <w:r w:rsidR="00D90DFF" w:rsidRPr="008E5FB3">
        <w:rPr>
          <w:rFonts w:ascii="Times New Roman" w:eastAsia="Times New Roman" w:hAnsi="Times New Roman"/>
          <w:lang w:eastAsia="pl-PL"/>
        </w:rPr>
        <w:t>, któr</w:t>
      </w:r>
      <w:r w:rsidR="000D526D" w:rsidRPr="008E5FB3">
        <w:rPr>
          <w:rFonts w:ascii="Times New Roman" w:eastAsia="Times New Roman" w:hAnsi="Times New Roman"/>
          <w:lang w:eastAsia="pl-PL"/>
        </w:rPr>
        <w:t>ych</w:t>
      </w:r>
      <w:r w:rsidR="004B582B" w:rsidRPr="008E5FB3">
        <w:rPr>
          <w:rFonts w:ascii="Times New Roman" w:eastAsia="Times New Roman" w:hAnsi="Times New Roman"/>
          <w:lang w:eastAsia="pl-PL"/>
        </w:rPr>
        <w:t xml:space="preserve"> </w:t>
      </w:r>
      <w:r w:rsidR="00D90DFF" w:rsidRPr="008E5FB3">
        <w:rPr>
          <w:rFonts w:ascii="Times New Roman" w:eastAsia="Times New Roman" w:hAnsi="Times New Roman"/>
          <w:lang w:eastAsia="pl-PL"/>
        </w:rPr>
        <w:t>wyeliminowa</w:t>
      </w:r>
      <w:r w:rsidR="000D526D" w:rsidRPr="008E5FB3">
        <w:rPr>
          <w:rFonts w:ascii="Times New Roman" w:eastAsia="Times New Roman" w:hAnsi="Times New Roman"/>
          <w:lang w:eastAsia="pl-PL"/>
        </w:rPr>
        <w:t>nie</w:t>
      </w:r>
      <w:r w:rsidR="00D90DFF" w:rsidRPr="008E5FB3">
        <w:rPr>
          <w:rFonts w:ascii="Times New Roman" w:eastAsia="Times New Roman" w:hAnsi="Times New Roman"/>
          <w:lang w:eastAsia="pl-PL"/>
        </w:rPr>
        <w:t xml:space="preserve"> w drodze interpretacji przepisów prawa</w:t>
      </w:r>
      <w:r w:rsidR="000D526D" w:rsidRPr="008E5FB3">
        <w:rPr>
          <w:rFonts w:ascii="Times New Roman" w:eastAsia="Times New Roman" w:hAnsi="Times New Roman"/>
          <w:lang w:eastAsia="pl-PL"/>
        </w:rPr>
        <w:t xml:space="preserve"> nie jest możliwe</w:t>
      </w:r>
      <w:r w:rsidR="00D90DFF" w:rsidRPr="008E5FB3">
        <w:rPr>
          <w:rFonts w:ascii="Times New Roman" w:eastAsia="Times New Roman" w:hAnsi="Times New Roman"/>
          <w:lang w:eastAsia="pl-PL"/>
        </w:rPr>
        <w:t xml:space="preserve">. </w:t>
      </w:r>
      <w:r w:rsidR="00A80706" w:rsidRPr="00A80706">
        <w:rPr>
          <w:rFonts w:ascii="Times New Roman" w:eastAsia="Times New Roman" w:hAnsi="Times New Roman"/>
          <w:lang w:eastAsia="pl-PL"/>
        </w:rPr>
        <w:t>Dodatkowo, niektóre przepisy mają charakter precyzuj</w:t>
      </w:r>
      <w:r w:rsidR="00A80706">
        <w:rPr>
          <w:rFonts w:ascii="Times New Roman" w:eastAsia="Times New Roman" w:hAnsi="Times New Roman"/>
          <w:lang w:eastAsia="pl-PL"/>
        </w:rPr>
        <w:t xml:space="preserve">ący, porządkujący oraz mają one </w:t>
      </w:r>
      <w:r w:rsidR="00A80706" w:rsidRPr="00A80706">
        <w:rPr>
          <w:rFonts w:ascii="Times New Roman" w:eastAsia="Times New Roman" w:hAnsi="Times New Roman"/>
          <w:lang w:eastAsia="pl-PL"/>
        </w:rPr>
        <w:t>zapewnić spójność i zgodność zmienianych przepisów z innymi regulacjami, w tym unijnymi</w:t>
      </w:r>
      <w:r w:rsidR="00A80706">
        <w:rPr>
          <w:rFonts w:ascii="Times New Roman" w:eastAsia="Times New Roman" w:hAnsi="Times New Roman"/>
          <w:lang w:eastAsia="pl-PL"/>
        </w:rPr>
        <w:t>.</w:t>
      </w:r>
    </w:p>
    <w:p w14:paraId="7BF5182C" w14:textId="77777777" w:rsidR="00857D42" w:rsidRDefault="00857D42" w:rsidP="00713591">
      <w:pPr>
        <w:spacing w:line="276" w:lineRule="auto"/>
        <w:jc w:val="both"/>
        <w:rPr>
          <w:rFonts w:ascii="Times New Roman" w:eastAsia="Times New Roman" w:hAnsi="Times New Roman"/>
          <w:lang w:eastAsia="pl-PL"/>
        </w:rPr>
      </w:pPr>
    </w:p>
    <w:p w14:paraId="4A8331FD" w14:textId="77777777" w:rsidR="00ED4A13" w:rsidRDefault="00ED4A13" w:rsidP="00713591">
      <w:pPr>
        <w:spacing w:line="276" w:lineRule="auto"/>
        <w:jc w:val="both"/>
        <w:rPr>
          <w:rFonts w:ascii="Times New Roman" w:eastAsia="Times New Roman" w:hAnsi="Times New Roman"/>
          <w:lang w:eastAsia="pl-PL"/>
        </w:rPr>
      </w:pPr>
      <w:r w:rsidRPr="00ED4A13">
        <w:rPr>
          <w:rFonts w:ascii="Times New Roman" w:eastAsia="Times New Roman" w:hAnsi="Times New Roman"/>
          <w:lang w:eastAsia="pl-PL"/>
        </w:rPr>
        <w:t>Głównym uzasadnieniem dla podjęcia zmian w obowiązujących przepisach jest wzmocnienie obecnych rozwiązań i poprawa skuteczności oraz efektywności zarządzania w sektorze publicznym w zakresie sprawności i zdolności realizacji zadań publicznych oraz wydatkowania środków publicznych.</w:t>
      </w:r>
    </w:p>
    <w:p w14:paraId="56579390" w14:textId="77777777" w:rsidR="00417C84" w:rsidRDefault="00417C84" w:rsidP="00713591">
      <w:pPr>
        <w:spacing w:line="276" w:lineRule="auto"/>
        <w:jc w:val="both"/>
        <w:rPr>
          <w:rFonts w:ascii="Times New Roman" w:eastAsia="Times New Roman" w:hAnsi="Times New Roman"/>
          <w:lang w:eastAsia="pl-PL"/>
        </w:rPr>
      </w:pPr>
    </w:p>
    <w:p w14:paraId="54934A73" w14:textId="77777777" w:rsidR="00CE13F3" w:rsidRPr="00F7736E" w:rsidRDefault="00CE13F3" w:rsidP="00713591">
      <w:pPr>
        <w:spacing w:line="276" w:lineRule="auto"/>
        <w:jc w:val="both"/>
        <w:rPr>
          <w:rFonts w:ascii="Times New Roman" w:hAnsi="Times New Roman"/>
        </w:rPr>
      </w:pPr>
      <w:r w:rsidRPr="00F7736E">
        <w:rPr>
          <w:rFonts w:ascii="Times New Roman" w:hAnsi="Times New Roman"/>
        </w:rPr>
        <w:t xml:space="preserve">Projektowane zmiany polegają m. in. na: </w:t>
      </w:r>
    </w:p>
    <w:p w14:paraId="319C13A5" w14:textId="77777777" w:rsidR="00CE13F3" w:rsidRPr="00F7736E" w:rsidRDefault="00CE13F3" w:rsidP="00713591">
      <w:pPr>
        <w:pStyle w:val="Akapitzlist"/>
        <w:numPr>
          <w:ilvl w:val="0"/>
          <w:numId w:val="3"/>
        </w:numPr>
        <w:spacing w:after="120" w:line="276" w:lineRule="auto"/>
        <w:jc w:val="both"/>
        <w:rPr>
          <w:rFonts w:ascii="Times New Roman" w:eastAsia="Times New Roman" w:hAnsi="Times New Roman"/>
          <w:lang w:eastAsia="pl-PL"/>
        </w:rPr>
      </w:pPr>
      <w:r w:rsidRPr="00F7736E">
        <w:rPr>
          <w:rFonts w:ascii="Times New Roman" w:eastAsia="Times New Roman" w:hAnsi="Times New Roman"/>
          <w:lang w:eastAsia="pl-PL"/>
        </w:rPr>
        <w:t xml:space="preserve">wprowadzeniu modyfikacji w zakresie układu zadaniowego; </w:t>
      </w:r>
    </w:p>
    <w:p w14:paraId="4BAA60B4" w14:textId="14767BBA" w:rsidR="00CE13F3" w:rsidRPr="00D97C25" w:rsidRDefault="00CE13F3" w:rsidP="00D97C25">
      <w:pPr>
        <w:pStyle w:val="Akapitzlist"/>
        <w:numPr>
          <w:ilvl w:val="0"/>
          <w:numId w:val="3"/>
        </w:numPr>
        <w:spacing w:after="120" w:line="276" w:lineRule="auto"/>
        <w:jc w:val="both"/>
        <w:rPr>
          <w:rFonts w:ascii="Times New Roman" w:hAnsi="Times New Roman"/>
        </w:rPr>
      </w:pPr>
      <w:r w:rsidRPr="00F7736E">
        <w:rPr>
          <w:rFonts w:ascii="Times New Roman" w:hAnsi="Times New Roman"/>
        </w:rPr>
        <w:t xml:space="preserve">uelastycznieniu regulacji dotyczących dokonywania zmian w planach finansowych jednostek sektora finansów publicznych, a co za tym idzie </w:t>
      </w:r>
      <w:r w:rsidR="00D97C25">
        <w:rPr>
          <w:rFonts w:ascii="Times New Roman" w:hAnsi="Times New Roman"/>
        </w:rPr>
        <w:t>–</w:t>
      </w:r>
      <w:r w:rsidRPr="00D97C25">
        <w:rPr>
          <w:rFonts w:ascii="Times New Roman" w:hAnsi="Times New Roman"/>
        </w:rPr>
        <w:t xml:space="preserve"> zasad gospodarowania środkami publicznymi; </w:t>
      </w:r>
    </w:p>
    <w:p w14:paraId="624CC955" w14:textId="77777777" w:rsidR="00CE13F3" w:rsidRDefault="00CE13F3" w:rsidP="00713591">
      <w:pPr>
        <w:pStyle w:val="Akapitzlist"/>
        <w:numPr>
          <w:ilvl w:val="0"/>
          <w:numId w:val="3"/>
        </w:numPr>
        <w:spacing w:after="120" w:line="276" w:lineRule="auto"/>
        <w:jc w:val="both"/>
        <w:rPr>
          <w:rFonts w:ascii="Times New Roman" w:hAnsi="Times New Roman"/>
        </w:rPr>
      </w:pPr>
      <w:r w:rsidRPr="00F7736E">
        <w:rPr>
          <w:rFonts w:ascii="Times New Roman" w:hAnsi="Times New Roman"/>
        </w:rPr>
        <w:t>uelastycznieniu procesów związanych z wydatkowaniem środków budżetu państwa;</w:t>
      </w:r>
    </w:p>
    <w:p w14:paraId="3C73F2A2" w14:textId="3321432B" w:rsidR="008D5992" w:rsidRPr="00EC4752" w:rsidRDefault="00857D42" w:rsidP="00713591">
      <w:pPr>
        <w:pStyle w:val="Akapitzlist"/>
        <w:numPr>
          <w:ilvl w:val="0"/>
          <w:numId w:val="3"/>
        </w:numPr>
        <w:spacing w:after="120" w:line="276" w:lineRule="auto"/>
        <w:jc w:val="both"/>
        <w:rPr>
          <w:rFonts w:ascii="Times New Roman" w:hAnsi="Times New Roman"/>
        </w:rPr>
      </w:pPr>
      <w:r>
        <w:rPr>
          <w:rFonts w:ascii="Times New Roman" w:hAnsi="Times New Roman"/>
        </w:rPr>
        <w:t>doprecyzowaniu przepisów dotyczących</w:t>
      </w:r>
      <w:r w:rsidR="00CE13F3" w:rsidRPr="00F7736E">
        <w:rPr>
          <w:rFonts w:ascii="Times New Roman" w:hAnsi="Times New Roman"/>
        </w:rPr>
        <w:t xml:space="preserve"> dokonywania wydatków ze środków rezerw celowych;</w:t>
      </w:r>
    </w:p>
    <w:p w14:paraId="6D478CB8" w14:textId="2C1FC022" w:rsidR="00CE13F3" w:rsidRPr="003660D6" w:rsidRDefault="00CE13F3" w:rsidP="00713591">
      <w:pPr>
        <w:pStyle w:val="Akapitzlist"/>
        <w:numPr>
          <w:ilvl w:val="0"/>
          <w:numId w:val="3"/>
        </w:numPr>
        <w:spacing w:after="120" w:line="276" w:lineRule="auto"/>
        <w:jc w:val="both"/>
      </w:pPr>
      <w:r w:rsidRPr="00EC4752">
        <w:rPr>
          <w:rFonts w:ascii="Times New Roman" w:hAnsi="Times New Roman"/>
        </w:rPr>
        <w:t>zniesieniu obowiązku sporządzania informacji o przebiegu wykonania ustawy budżetowej za pierwsze półrocze;</w:t>
      </w:r>
    </w:p>
    <w:p w14:paraId="738B9765" w14:textId="11056B21" w:rsidR="00A80706" w:rsidRPr="008B7561" w:rsidRDefault="00A80706" w:rsidP="00713591">
      <w:pPr>
        <w:pStyle w:val="Akapitzlist"/>
        <w:numPr>
          <w:ilvl w:val="0"/>
          <w:numId w:val="3"/>
        </w:numPr>
        <w:spacing w:after="120" w:line="276" w:lineRule="auto"/>
        <w:jc w:val="both"/>
        <w:rPr>
          <w:rFonts w:ascii="Times New Roman" w:hAnsi="Times New Roman"/>
        </w:rPr>
      </w:pPr>
      <w:r w:rsidRPr="00A80706">
        <w:rPr>
          <w:rFonts w:ascii="Times New Roman" w:hAnsi="Times New Roman"/>
        </w:rPr>
        <w:t>wprowadzeniu modyfikacji w zakresie przepisów dotyczących państwowego długu publicznego, w szczególności zarządzania długiem Skarbu Państwa</w:t>
      </w:r>
      <w:r>
        <w:rPr>
          <w:rFonts w:ascii="Times New Roman" w:hAnsi="Times New Roman"/>
        </w:rPr>
        <w:t>;</w:t>
      </w:r>
    </w:p>
    <w:p w14:paraId="18C99EBA" w14:textId="63EC9713" w:rsidR="00ED4A13" w:rsidRPr="00C90852" w:rsidRDefault="00CE13F3" w:rsidP="00713591">
      <w:pPr>
        <w:pStyle w:val="Akapitzlist"/>
        <w:numPr>
          <w:ilvl w:val="0"/>
          <w:numId w:val="3"/>
        </w:numPr>
        <w:spacing w:after="120" w:line="276" w:lineRule="auto"/>
        <w:jc w:val="both"/>
        <w:rPr>
          <w:rFonts w:ascii="Times New Roman" w:hAnsi="Times New Roman"/>
        </w:rPr>
      </w:pPr>
      <w:r>
        <w:rPr>
          <w:rFonts w:ascii="Times New Roman" w:eastAsia="Times New Roman" w:hAnsi="Times New Roman"/>
          <w:lang w:eastAsia="pl-PL"/>
        </w:rPr>
        <w:t>doprecyzowaniu przepisów dotyczących jednostek samorządu terytorialnego.</w:t>
      </w:r>
    </w:p>
    <w:p w14:paraId="5BC68871" w14:textId="77777777" w:rsidR="00C90852" w:rsidRDefault="00C90852" w:rsidP="00C90852">
      <w:pPr>
        <w:pStyle w:val="Akapitzlist"/>
        <w:spacing w:after="120" w:line="276" w:lineRule="auto"/>
        <w:jc w:val="both"/>
        <w:rPr>
          <w:rFonts w:ascii="Times New Roman" w:hAnsi="Times New Roman"/>
        </w:rPr>
      </w:pPr>
    </w:p>
    <w:p w14:paraId="3BE0C157" w14:textId="6152E97A" w:rsidR="00BF6811" w:rsidRDefault="00BF6811" w:rsidP="00BF6811">
      <w:pPr>
        <w:spacing w:line="276" w:lineRule="auto"/>
        <w:jc w:val="both"/>
        <w:rPr>
          <w:rFonts w:ascii="Times New Roman" w:eastAsia="Times New Roman" w:hAnsi="Times New Roman"/>
          <w:lang w:eastAsia="pl-PL"/>
        </w:rPr>
      </w:pPr>
      <w:r>
        <w:rPr>
          <w:rFonts w:ascii="Times New Roman" w:eastAsia="Times New Roman" w:hAnsi="Times New Roman"/>
          <w:lang w:eastAsia="pl-PL"/>
        </w:rPr>
        <w:t>Ponadto zaproponowano z</w:t>
      </w:r>
      <w:r w:rsidRPr="00ED4A13">
        <w:rPr>
          <w:rFonts w:ascii="Times New Roman" w:eastAsia="Times New Roman" w:hAnsi="Times New Roman"/>
          <w:lang w:eastAsia="pl-PL"/>
        </w:rPr>
        <w:t>miany w zakresie kontroli zarządczej i audytu wewnętrznego</w:t>
      </w:r>
      <w:r>
        <w:rPr>
          <w:rFonts w:ascii="Times New Roman" w:eastAsia="Times New Roman" w:hAnsi="Times New Roman"/>
          <w:lang w:eastAsia="pl-PL"/>
        </w:rPr>
        <w:t>.</w:t>
      </w:r>
      <w:r w:rsidRPr="00ED4A13">
        <w:rPr>
          <w:rFonts w:ascii="Times New Roman" w:eastAsia="Times New Roman" w:hAnsi="Times New Roman"/>
          <w:lang w:eastAsia="pl-PL"/>
        </w:rPr>
        <w:t xml:space="preserve"> </w:t>
      </w:r>
      <w:r>
        <w:rPr>
          <w:rFonts w:ascii="Times New Roman" w:eastAsia="Times New Roman" w:hAnsi="Times New Roman"/>
          <w:lang w:eastAsia="pl-PL"/>
        </w:rPr>
        <w:t xml:space="preserve">Jednoczesne wprowadzenie tych zmian </w:t>
      </w:r>
      <w:r w:rsidRPr="00ED4A13">
        <w:rPr>
          <w:rFonts w:ascii="Times New Roman" w:eastAsia="Times New Roman" w:hAnsi="Times New Roman"/>
          <w:lang w:eastAsia="pl-PL"/>
        </w:rPr>
        <w:t>zapewni ich spójność. Zagadnienia te mają charakter komplementarny</w:t>
      </w:r>
      <w:r w:rsidR="00C26A7B">
        <w:rPr>
          <w:rFonts w:ascii="Times New Roman" w:eastAsia="Times New Roman" w:hAnsi="Times New Roman"/>
          <w:lang w:eastAsia="pl-PL"/>
        </w:rPr>
        <w:t>.</w:t>
      </w:r>
      <w:r>
        <w:rPr>
          <w:rFonts w:ascii="Times New Roman" w:eastAsia="Times New Roman" w:hAnsi="Times New Roman"/>
          <w:lang w:eastAsia="pl-PL"/>
        </w:rPr>
        <w:t xml:space="preserve"> Wspierają realizację celów i</w:t>
      </w:r>
      <w:r w:rsidRPr="00ED4A13">
        <w:rPr>
          <w:rFonts w:ascii="Times New Roman" w:eastAsia="Times New Roman" w:hAnsi="Times New Roman"/>
          <w:lang w:eastAsia="pl-PL"/>
        </w:rPr>
        <w:t xml:space="preserve"> ich rozliczalność, a także wzmacniają oraz </w:t>
      </w:r>
      <w:r w:rsidRPr="00ED4A13">
        <w:rPr>
          <w:rFonts w:ascii="Times New Roman" w:eastAsia="Times New Roman" w:hAnsi="Times New Roman"/>
          <w:lang w:eastAsia="pl-PL"/>
        </w:rPr>
        <w:lastRenderedPageBreak/>
        <w:t>usprawniają kontrolę zarządczą w sektorze publicznym (na poziomie jednostki sektora finansów publicznych, jednostki samorządu terytorialnego, jak i działu administracji rządowej).</w:t>
      </w:r>
    </w:p>
    <w:p w14:paraId="667F262F" w14:textId="34CB6178" w:rsidR="00ED4A13" w:rsidRPr="00ED4A13" w:rsidRDefault="00ED4A13" w:rsidP="00C90852">
      <w:pPr>
        <w:spacing w:before="120" w:line="276" w:lineRule="auto"/>
        <w:jc w:val="both"/>
        <w:rPr>
          <w:rFonts w:asciiTheme="majorBidi" w:eastAsiaTheme="minorHAnsi" w:hAnsiTheme="majorBidi" w:cstheme="majorBidi"/>
        </w:rPr>
      </w:pPr>
      <w:r>
        <w:rPr>
          <w:rFonts w:asciiTheme="majorBidi" w:eastAsiaTheme="minorHAnsi" w:hAnsiTheme="majorBidi" w:cstheme="majorBidi"/>
        </w:rPr>
        <w:t>Zasadniczymi celami zmian w</w:t>
      </w:r>
      <w:r w:rsidRPr="00ED4A13">
        <w:rPr>
          <w:rFonts w:asciiTheme="majorBidi" w:eastAsiaTheme="minorHAnsi" w:hAnsiTheme="majorBidi" w:cstheme="majorBidi"/>
        </w:rPr>
        <w:t xml:space="preserve"> zakresie</w:t>
      </w:r>
      <w:r w:rsidRPr="00ED4A13">
        <w:t xml:space="preserve"> </w:t>
      </w:r>
      <w:r w:rsidRPr="00ED4A13">
        <w:rPr>
          <w:rFonts w:asciiTheme="majorBidi" w:eastAsiaTheme="minorHAnsi" w:hAnsiTheme="majorBidi" w:cstheme="majorBidi"/>
        </w:rPr>
        <w:t>kontroli zarządczej i audytu wewnętrznego są:</w:t>
      </w:r>
    </w:p>
    <w:p w14:paraId="36E8C259" w14:textId="3036E3C1" w:rsidR="00ED4A13" w:rsidRPr="00ED4A13" w:rsidRDefault="00ED4A13" w:rsidP="00C90852">
      <w:pPr>
        <w:numPr>
          <w:ilvl w:val="0"/>
          <w:numId w:val="6"/>
        </w:numPr>
        <w:spacing w:before="120" w:after="200" w:line="276" w:lineRule="auto"/>
        <w:contextualSpacing/>
        <w:jc w:val="both"/>
        <w:rPr>
          <w:rFonts w:asciiTheme="majorBidi" w:eastAsiaTheme="minorHAnsi" w:hAnsiTheme="majorBidi" w:cstheme="majorBidi"/>
        </w:rPr>
      </w:pPr>
      <w:r w:rsidRPr="00ED4A13">
        <w:rPr>
          <w:rFonts w:asciiTheme="majorBidi" w:eastAsiaTheme="minorHAnsi" w:hAnsiTheme="majorBidi" w:cstheme="majorBidi"/>
        </w:rPr>
        <w:t>poprawa funkcjonowania procesu planowania w ramach kontroli zarządczej, poprzez m.in. wprowadzenie rozwiązań umożliwiających dokonywanie w trakcie roku zmian w planie działalności, oraz doprecyzowanie zakresu informacji agregowanych na potrzeby procesu planowania działalności</w:t>
      </w:r>
      <w:r w:rsidR="007B022A">
        <w:rPr>
          <w:rFonts w:asciiTheme="majorBidi" w:eastAsiaTheme="minorHAnsi" w:hAnsiTheme="majorBidi" w:cstheme="majorBidi"/>
        </w:rPr>
        <w:t>;</w:t>
      </w:r>
    </w:p>
    <w:p w14:paraId="1A74B20B" w14:textId="44CC2487" w:rsidR="00ED4A13" w:rsidRPr="00ED4A13" w:rsidRDefault="00ED4A13" w:rsidP="00B42069">
      <w:pPr>
        <w:numPr>
          <w:ilvl w:val="0"/>
          <w:numId w:val="6"/>
        </w:numPr>
        <w:spacing w:before="120" w:after="200" w:line="276" w:lineRule="auto"/>
        <w:contextualSpacing/>
        <w:jc w:val="both"/>
        <w:rPr>
          <w:rFonts w:asciiTheme="majorBidi" w:eastAsiaTheme="minorHAnsi" w:hAnsiTheme="majorBidi" w:cstheme="majorBidi"/>
        </w:rPr>
      </w:pPr>
      <w:r w:rsidRPr="00ED4A13">
        <w:rPr>
          <w:rFonts w:asciiTheme="majorBidi" w:eastAsiaTheme="minorHAnsi" w:hAnsiTheme="majorBidi" w:cstheme="majorBidi"/>
        </w:rPr>
        <w:t>umożliwienie uzyskiwania w oparciu o egzamin państwowy krajowych kwalifikacji do prowadzenia audytu wewnętrznego</w:t>
      </w:r>
      <w:r w:rsidR="007B022A">
        <w:rPr>
          <w:rFonts w:asciiTheme="majorBidi" w:eastAsiaTheme="minorHAnsi" w:hAnsiTheme="majorBidi" w:cstheme="majorBidi"/>
        </w:rPr>
        <w:t>;</w:t>
      </w:r>
    </w:p>
    <w:p w14:paraId="4AC613F1" w14:textId="77777777" w:rsidR="00ED4A13" w:rsidRPr="00ED4A13" w:rsidRDefault="00ED4A13">
      <w:pPr>
        <w:numPr>
          <w:ilvl w:val="0"/>
          <w:numId w:val="6"/>
        </w:numPr>
        <w:spacing w:before="120" w:after="200" w:line="276" w:lineRule="auto"/>
        <w:contextualSpacing/>
        <w:jc w:val="both"/>
        <w:rPr>
          <w:rFonts w:asciiTheme="majorBidi" w:eastAsiaTheme="minorHAnsi" w:hAnsiTheme="majorBidi" w:cstheme="majorBidi"/>
        </w:rPr>
      </w:pPr>
      <w:r w:rsidRPr="00ED4A13">
        <w:rPr>
          <w:rFonts w:asciiTheme="majorBidi" w:eastAsiaTheme="minorHAnsi" w:hAnsiTheme="majorBidi" w:cstheme="majorBidi"/>
        </w:rPr>
        <w:t>zaproponowanie nowych regulacji usprawniających oraz wzmacniających prowadzenie audytu wewnętrznego w sektorze publicznym, w tym:</w:t>
      </w:r>
    </w:p>
    <w:p w14:paraId="2BF7D3C0" w14:textId="0A49D6B5" w:rsidR="00ED4A13" w:rsidRPr="00ED4A13" w:rsidRDefault="00BF6811">
      <w:pPr>
        <w:numPr>
          <w:ilvl w:val="0"/>
          <w:numId w:val="7"/>
        </w:numPr>
        <w:spacing w:before="120" w:after="200" w:line="276" w:lineRule="auto"/>
        <w:ind w:left="1134" w:hanging="283"/>
        <w:contextualSpacing/>
        <w:jc w:val="both"/>
        <w:rPr>
          <w:rFonts w:asciiTheme="majorBidi" w:eastAsiaTheme="minorHAnsi" w:hAnsiTheme="majorBidi" w:cstheme="majorBidi"/>
        </w:rPr>
      </w:pPr>
      <w:r>
        <w:rPr>
          <w:rFonts w:asciiTheme="majorBidi" w:eastAsiaTheme="minorHAnsi" w:hAnsiTheme="majorBidi" w:cstheme="majorBidi"/>
        </w:rPr>
        <w:t>zmieniono wysokość</w:t>
      </w:r>
      <w:r w:rsidR="00ED4A13" w:rsidRPr="00ED4A13">
        <w:rPr>
          <w:rFonts w:asciiTheme="majorBidi" w:eastAsiaTheme="minorHAnsi" w:hAnsiTheme="majorBidi" w:cstheme="majorBidi"/>
        </w:rPr>
        <w:t xml:space="preserve"> kwoty, po przekroczeniu której powstaje obowiązek prowadzenia audytu wewnętrznego, tzw. kwoty progowej do </w:t>
      </w:r>
      <w:r w:rsidR="00DD4C1D">
        <w:rPr>
          <w:rFonts w:asciiTheme="majorBidi" w:eastAsiaTheme="minorHAnsi" w:hAnsiTheme="majorBidi" w:cstheme="majorBidi"/>
        </w:rPr>
        <w:t>51</w:t>
      </w:r>
      <w:r w:rsidR="00ED4A13" w:rsidRPr="00ED4A13">
        <w:rPr>
          <w:rFonts w:asciiTheme="majorBidi" w:eastAsiaTheme="minorHAnsi" w:hAnsiTheme="majorBidi" w:cstheme="majorBidi"/>
        </w:rPr>
        <w:t xml:space="preserve"> 000 tys. zł (obecnie 40 000 tys. zł) oraz kwoty odnoszącej się do możliwości prowadzenia audytu wewnętrznego przez usługodawców do </w:t>
      </w:r>
      <w:r w:rsidR="00DD4C1D">
        <w:rPr>
          <w:rFonts w:asciiTheme="majorBidi" w:eastAsiaTheme="minorHAnsi" w:hAnsiTheme="majorBidi" w:cstheme="majorBidi"/>
        </w:rPr>
        <w:t>127</w:t>
      </w:r>
      <w:r w:rsidR="00ED4A13" w:rsidRPr="00ED4A13">
        <w:rPr>
          <w:rFonts w:asciiTheme="majorBidi" w:eastAsiaTheme="minorHAnsi" w:hAnsiTheme="majorBidi" w:cstheme="majorBidi"/>
        </w:rPr>
        <w:t xml:space="preserve"> 000 tys. zł (obecnie 100 000 tys. zł),</w:t>
      </w:r>
    </w:p>
    <w:p w14:paraId="5D83465D" w14:textId="43DA82DC" w:rsidR="00ED4A13" w:rsidRPr="00ED4A13" w:rsidRDefault="00BF6811">
      <w:pPr>
        <w:numPr>
          <w:ilvl w:val="0"/>
          <w:numId w:val="7"/>
        </w:numPr>
        <w:spacing w:before="120" w:after="200" w:line="276" w:lineRule="auto"/>
        <w:ind w:left="1134" w:hanging="283"/>
        <w:contextualSpacing/>
        <w:jc w:val="both"/>
        <w:rPr>
          <w:rFonts w:asciiTheme="majorBidi" w:eastAsiaTheme="minorHAnsi" w:hAnsiTheme="majorBidi" w:cstheme="majorBidi"/>
        </w:rPr>
      </w:pPr>
      <w:r>
        <w:rPr>
          <w:rFonts w:asciiTheme="majorBidi" w:eastAsiaTheme="minorHAnsi" w:hAnsiTheme="majorBidi" w:cstheme="majorBidi"/>
        </w:rPr>
        <w:t>rozszerzono katalog</w:t>
      </w:r>
      <w:r w:rsidR="00ED4A13" w:rsidRPr="00ED4A13">
        <w:rPr>
          <w:rFonts w:asciiTheme="majorBidi" w:eastAsiaTheme="minorHAnsi" w:hAnsiTheme="majorBidi" w:cstheme="majorBidi"/>
        </w:rPr>
        <w:t xml:space="preserve"> jednostek sektora finansów publicznych zobowiązanych do prowadzenia audytu wewnętrznego po przekroczeniu tzw. kwoty progowej o państwowe osoby prawne, o których mowa w art. 9 pkt 14 ustawy </w:t>
      </w:r>
      <w:r w:rsidR="00ED4A13" w:rsidRPr="00ED4A13">
        <w:rPr>
          <w:rFonts w:asciiTheme="majorBidi" w:eastAsiaTheme="minorHAnsi" w:hAnsiTheme="majorBidi" w:cstheme="majorBidi"/>
          <w:i/>
        </w:rPr>
        <w:t xml:space="preserve">o finansach publicznych </w:t>
      </w:r>
      <w:r w:rsidR="00ED4A13" w:rsidRPr="00ED4A13">
        <w:rPr>
          <w:rFonts w:asciiTheme="majorBidi" w:eastAsiaTheme="minorHAnsi" w:hAnsiTheme="majorBidi" w:cstheme="majorBidi"/>
          <w:iCs/>
        </w:rPr>
        <w:t>oraz Państwowy Fundusz Rehabilitacji Osób Niepełnosprawnych (PFRON)</w:t>
      </w:r>
      <w:r w:rsidR="00ED4A13" w:rsidRPr="00ED4A13">
        <w:rPr>
          <w:rFonts w:asciiTheme="majorBidi" w:eastAsiaTheme="minorHAnsi" w:hAnsiTheme="majorBidi" w:cstheme="majorBidi"/>
        </w:rPr>
        <w:t>,</w:t>
      </w:r>
    </w:p>
    <w:p w14:paraId="102F40EB" w14:textId="64CAA422" w:rsidR="00ED4A13" w:rsidRPr="00ED4A13" w:rsidRDefault="00BF6811">
      <w:pPr>
        <w:numPr>
          <w:ilvl w:val="0"/>
          <w:numId w:val="7"/>
        </w:numPr>
        <w:spacing w:before="120" w:after="200" w:line="276" w:lineRule="auto"/>
        <w:ind w:left="1134" w:hanging="283"/>
        <w:contextualSpacing/>
        <w:jc w:val="both"/>
        <w:rPr>
          <w:rFonts w:asciiTheme="majorBidi" w:eastAsiaTheme="minorHAnsi" w:hAnsiTheme="majorBidi" w:cstheme="majorBidi"/>
        </w:rPr>
      </w:pPr>
      <w:r>
        <w:rPr>
          <w:rFonts w:asciiTheme="majorBidi" w:eastAsiaTheme="minorHAnsi" w:hAnsiTheme="majorBidi" w:cstheme="majorBidi"/>
        </w:rPr>
        <w:t>wprowadzono przepisy</w:t>
      </w:r>
      <w:r w:rsidR="00ED4A13" w:rsidRPr="00ED4A13">
        <w:rPr>
          <w:rFonts w:asciiTheme="majorBidi" w:eastAsiaTheme="minorHAnsi" w:hAnsiTheme="majorBidi" w:cstheme="majorBidi"/>
        </w:rPr>
        <w:t xml:space="preserve"> </w:t>
      </w:r>
      <w:r>
        <w:rPr>
          <w:rFonts w:asciiTheme="majorBidi" w:eastAsiaTheme="minorHAnsi" w:hAnsiTheme="majorBidi" w:cstheme="majorBidi"/>
        </w:rPr>
        <w:t>podkreślające</w:t>
      </w:r>
      <w:r w:rsidR="00ED4A13" w:rsidRPr="00ED4A13">
        <w:rPr>
          <w:rFonts w:asciiTheme="majorBidi" w:eastAsiaTheme="minorHAnsi" w:hAnsiTheme="majorBidi" w:cstheme="majorBidi"/>
        </w:rPr>
        <w:t xml:space="preserve"> odrębność</w:t>
      </w:r>
      <w:r w:rsidR="00DD4C1D">
        <w:rPr>
          <w:rFonts w:asciiTheme="majorBidi" w:eastAsiaTheme="minorHAnsi" w:hAnsiTheme="majorBidi" w:cstheme="majorBidi"/>
        </w:rPr>
        <w:t xml:space="preserve"> merytoryczną i</w:t>
      </w:r>
      <w:r w:rsidR="00ED4A13" w:rsidRPr="00ED4A13">
        <w:rPr>
          <w:rFonts w:asciiTheme="majorBidi" w:eastAsiaTheme="minorHAnsi" w:hAnsiTheme="majorBidi" w:cstheme="majorBidi"/>
        </w:rPr>
        <w:t xml:space="preserve"> organizacyjną komórki audytu wewnętrznego </w:t>
      </w:r>
      <w:r w:rsidR="00DD4C1D">
        <w:rPr>
          <w:rFonts w:asciiTheme="majorBidi" w:eastAsiaTheme="minorHAnsi" w:hAnsiTheme="majorBidi" w:cstheme="majorBidi"/>
        </w:rPr>
        <w:t>oraz</w:t>
      </w:r>
      <w:r w:rsidR="00CD0A33">
        <w:rPr>
          <w:rFonts w:asciiTheme="majorBidi" w:eastAsiaTheme="minorHAnsi" w:hAnsiTheme="majorBidi" w:cstheme="majorBidi"/>
        </w:rPr>
        <w:t xml:space="preserve"> </w:t>
      </w:r>
      <w:r w:rsidR="00ED4A13" w:rsidRPr="00ED4A13">
        <w:rPr>
          <w:rFonts w:asciiTheme="majorBidi" w:eastAsiaTheme="minorHAnsi" w:hAnsiTheme="majorBidi" w:cstheme="majorBidi"/>
        </w:rPr>
        <w:t>bezpośrednią podległość kierownikowi jednostki,</w:t>
      </w:r>
    </w:p>
    <w:p w14:paraId="7FDA36C2" w14:textId="368E1A0E" w:rsidR="00ED4A13" w:rsidRPr="00ED4A13" w:rsidRDefault="00BF6811">
      <w:pPr>
        <w:numPr>
          <w:ilvl w:val="0"/>
          <w:numId w:val="7"/>
        </w:numPr>
        <w:spacing w:before="120" w:after="200" w:line="276" w:lineRule="auto"/>
        <w:ind w:left="1134" w:hanging="283"/>
        <w:contextualSpacing/>
        <w:jc w:val="both"/>
        <w:rPr>
          <w:rFonts w:asciiTheme="majorBidi" w:eastAsiaTheme="minorHAnsi" w:hAnsiTheme="majorBidi" w:cstheme="majorBidi"/>
        </w:rPr>
      </w:pPr>
      <w:r>
        <w:rPr>
          <w:rFonts w:asciiTheme="majorBidi" w:eastAsiaTheme="minorHAnsi" w:hAnsiTheme="majorBidi" w:cstheme="majorBidi"/>
        </w:rPr>
        <w:t>wprowadzono</w:t>
      </w:r>
      <w:r w:rsidR="00ED4A13" w:rsidRPr="00ED4A13">
        <w:rPr>
          <w:rFonts w:asciiTheme="majorBidi" w:eastAsiaTheme="minorHAnsi" w:hAnsiTheme="majorBidi" w:cstheme="majorBidi"/>
        </w:rPr>
        <w:t xml:space="preserve"> obowiąz</w:t>
      </w:r>
      <w:r>
        <w:rPr>
          <w:rFonts w:asciiTheme="majorBidi" w:eastAsiaTheme="minorHAnsi" w:hAnsiTheme="majorBidi" w:cstheme="majorBidi"/>
        </w:rPr>
        <w:t>ek</w:t>
      </w:r>
      <w:r w:rsidR="00ED4A13" w:rsidRPr="00ED4A13">
        <w:rPr>
          <w:rFonts w:asciiTheme="majorBidi" w:eastAsiaTheme="minorHAnsi" w:hAnsiTheme="majorBidi" w:cstheme="majorBidi"/>
        </w:rPr>
        <w:t xml:space="preserve"> opracowania i stosowania programu zapewnienia i poprawy jakości funkcji audytu wewnętrznego,</w:t>
      </w:r>
    </w:p>
    <w:p w14:paraId="7173A3F0" w14:textId="403EDBE2" w:rsidR="00ED4A13" w:rsidRPr="00ED4A13" w:rsidRDefault="00ED4A13">
      <w:pPr>
        <w:numPr>
          <w:ilvl w:val="0"/>
          <w:numId w:val="7"/>
        </w:numPr>
        <w:spacing w:before="120" w:after="200" w:line="276" w:lineRule="auto"/>
        <w:ind w:left="1134" w:hanging="283"/>
        <w:contextualSpacing/>
        <w:jc w:val="both"/>
        <w:rPr>
          <w:rFonts w:asciiTheme="majorBidi" w:eastAsiaTheme="minorHAnsi" w:hAnsiTheme="majorBidi" w:cstheme="majorBidi"/>
        </w:rPr>
      </w:pPr>
      <w:r w:rsidRPr="00ED4A13">
        <w:rPr>
          <w:rFonts w:asciiTheme="majorBidi" w:eastAsiaTheme="minorHAnsi" w:hAnsiTheme="majorBidi" w:cstheme="majorBidi"/>
        </w:rPr>
        <w:t>wprowadz</w:t>
      </w:r>
      <w:r w:rsidR="00BF6811">
        <w:rPr>
          <w:rFonts w:asciiTheme="majorBidi" w:eastAsiaTheme="minorHAnsi" w:hAnsiTheme="majorBidi" w:cstheme="majorBidi"/>
        </w:rPr>
        <w:t>ono możliwość</w:t>
      </w:r>
      <w:r w:rsidRPr="00ED4A13">
        <w:rPr>
          <w:rFonts w:asciiTheme="majorBidi" w:eastAsiaTheme="minorHAnsi" w:hAnsiTheme="majorBidi" w:cstheme="majorBidi"/>
        </w:rPr>
        <w:t xml:space="preserve"> przeprowadzania audytu koordynowanego, w celu jednoczesnej realizacji tego samego zadania audytowego w jednostkach podległych lub nadzorowanych przez poszczególnych ministrów kierujących działami administracji rządowej,</w:t>
      </w:r>
    </w:p>
    <w:p w14:paraId="7C652AF1" w14:textId="74DE7219" w:rsidR="00ED4A13" w:rsidRPr="00ED4A13" w:rsidRDefault="00BF6811">
      <w:pPr>
        <w:numPr>
          <w:ilvl w:val="0"/>
          <w:numId w:val="7"/>
        </w:numPr>
        <w:spacing w:before="120" w:after="200" w:line="276" w:lineRule="auto"/>
        <w:ind w:left="1134" w:hanging="283"/>
        <w:contextualSpacing/>
        <w:jc w:val="both"/>
        <w:rPr>
          <w:rFonts w:asciiTheme="majorBidi" w:eastAsiaTheme="minorHAnsi" w:hAnsiTheme="majorBidi" w:cstheme="majorBidi"/>
        </w:rPr>
      </w:pPr>
      <w:r>
        <w:rPr>
          <w:rFonts w:asciiTheme="majorBidi" w:eastAsiaTheme="minorHAnsi" w:hAnsiTheme="majorBidi" w:cstheme="majorBidi"/>
        </w:rPr>
        <w:t>określono katalog</w:t>
      </w:r>
      <w:r w:rsidR="00ED4A13" w:rsidRPr="00ED4A13">
        <w:rPr>
          <w:rFonts w:asciiTheme="majorBidi" w:eastAsiaTheme="minorHAnsi" w:hAnsiTheme="majorBidi" w:cstheme="majorBidi"/>
        </w:rPr>
        <w:t xml:space="preserve"> dokumentów audytu wewnętrznego, które stanowią informację publiczną udostę</w:t>
      </w:r>
      <w:r>
        <w:rPr>
          <w:rFonts w:asciiTheme="majorBidi" w:eastAsiaTheme="minorHAnsi" w:hAnsiTheme="majorBidi" w:cstheme="majorBidi"/>
        </w:rPr>
        <w:t>pnianą na wniosek oraz czasowe</w:t>
      </w:r>
      <w:r w:rsidR="00ED4A13" w:rsidRPr="00ED4A13">
        <w:rPr>
          <w:rFonts w:asciiTheme="majorBidi" w:eastAsiaTheme="minorHAnsi" w:hAnsiTheme="majorBidi" w:cstheme="majorBidi"/>
        </w:rPr>
        <w:t xml:space="preserve"> ograniczenia dostępu do tych dokumentów,</w:t>
      </w:r>
    </w:p>
    <w:p w14:paraId="502D4A06" w14:textId="3538BA42" w:rsidR="00ED4A13" w:rsidRPr="00ED4A13" w:rsidRDefault="00ED4A13">
      <w:pPr>
        <w:numPr>
          <w:ilvl w:val="0"/>
          <w:numId w:val="7"/>
        </w:numPr>
        <w:spacing w:after="200" w:line="276" w:lineRule="auto"/>
        <w:ind w:left="1134" w:hanging="283"/>
        <w:contextualSpacing/>
        <w:jc w:val="both"/>
        <w:rPr>
          <w:rFonts w:asciiTheme="majorBidi" w:eastAsiaTheme="minorHAnsi" w:hAnsiTheme="majorBidi" w:cstheme="majorBidi"/>
        </w:rPr>
      </w:pPr>
      <w:r w:rsidRPr="00ED4A13">
        <w:rPr>
          <w:rFonts w:asciiTheme="majorBidi" w:eastAsiaTheme="minorHAnsi" w:hAnsiTheme="majorBidi" w:cstheme="majorBidi"/>
        </w:rPr>
        <w:t>włącz</w:t>
      </w:r>
      <w:r w:rsidR="00BF6811">
        <w:rPr>
          <w:rFonts w:asciiTheme="majorBidi" w:eastAsiaTheme="minorHAnsi" w:hAnsiTheme="majorBidi" w:cstheme="majorBidi"/>
        </w:rPr>
        <w:t>ono</w:t>
      </w:r>
      <w:r w:rsidRPr="00ED4A13">
        <w:rPr>
          <w:rFonts w:asciiTheme="majorBidi" w:eastAsiaTheme="minorHAnsi" w:hAnsiTheme="majorBidi" w:cstheme="majorBidi"/>
        </w:rPr>
        <w:t xml:space="preserve"> do </w:t>
      </w:r>
      <w:r w:rsidR="00BF6811">
        <w:rPr>
          <w:rFonts w:asciiTheme="majorBidi" w:eastAsiaTheme="minorHAnsi" w:hAnsiTheme="majorBidi" w:cstheme="majorBidi"/>
        </w:rPr>
        <w:t>systemu</w:t>
      </w:r>
      <w:r w:rsidRPr="00ED4A13">
        <w:rPr>
          <w:rFonts w:asciiTheme="majorBidi" w:eastAsiaTheme="minorHAnsi" w:hAnsiTheme="majorBidi" w:cstheme="majorBidi"/>
        </w:rPr>
        <w:t xml:space="preserve"> prawnego kodeksu etyki prowadzącego audyt wewnętrzny, który wraz ze standardami audytu wewnętrznego zostanie ogłoszony komunikatem Ministra Finansów,</w:t>
      </w:r>
    </w:p>
    <w:p w14:paraId="747DA65D" w14:textId="4215FBEB" w:rsidR="00ED4A13" w:rsidRPr="00ED4A13" w:rsidRDefault="00ED4A13" w:rsidP="00C90852">
      <w:pPr>
        <w:numPr>
          <w:ilvl w:val="0"/>
          <w:numId w:val="7"/>
        </w:numPr>
        <w:spacing w:after="200" w:line="276" w:lineRule="auto"/>
        <w:ind w:left="1134" w:hanging="283"/>
        <w:contextualSpacing/>
        <w:jc w:val="both"/>
        <w:rPr>
          <w:rFonts w:asciiTheme="majorBidi" w:eastAsiaTheme="minorHAnsi" w:hAnsiTheme="majorBidi" w:cstheme="majorBidi"/>
        </w:rPr>
      </w:pPr>
      <w:r w:rsidRPr="00ED4A13">
        <w:rPr>
          <w:rFonts w:asciiTheme="majorBidi" w:eastAsiaTheme="minorHAnsi" w:hAnsiTheme="majorBidi" w:cstheme="majorBidi"/>
        </w:rPr>
        <w:t>rozszerz</w:t>
      </w:r>
      <w:r w:rsidR="004D441E">
        <w:rPr>
          <w:rFonts w:asciiTheme="majorBidi" w:eastAsiaTheme="minorHAnsi" w:hAnsiTheme="majorBidi" w:cstheme="majorBidi"/>
        </w:rPr>
        <w:t>ono</w:t>
      </w:r>
      <w:r w:rsidRPr="00ED4A13">
        <w:rPr>
          <w:rFonts w:asciiTheme="majorBidi" w:eastAsiaTheme="minorHAnsi" w:hAnsiTheme="majorBidi" w:cstheme="majorBidi"/>
        </w:rPr>
        <w:t xml:space="preserve"> </w:t>
      </w:r>
      <w:r w:rsidR="004D441E">
        <w:rPr>
          <w:rFonts w:asciiTheme="majorBidi" w:eastAsiaTheme="minorHAnsi" w:hAnsiTheme="majorBidi" w:cstheme="majorBidi"/>
        </w:rPr>
        <w:t>katalog</w:t>
      </w:r>
      <w:r w:rsidRPr="00ED4A13">
        <w:rPr>
          <w:rFonts w:asciiTheme="majorBidi" w:eastAsiaTheme="minorHAnsi" w:hAnsiTheme="majorBidi" w:cstheme="majorBidi"/>
        </w:rPr>
        <w:t xml:space="preserve"> podmiotów zobowiązanych do przekazywania Ministrowi Finansów informacji o prowadzeniu audytu wewnętrznego o jednostki samorządu terytorialnego oraz dostosowan</w:t>
      </w:r>
      <w:r w:rsidR="004D441E">
        <w:rPr>
          <w:rFonts w:asciiTheme="majorBidi" w:eastAsiaTheme="minorHAnsi" w:hAnsiTheme="majorBidi" w:cstheme="majorBidi"/>
        </w:rPr>
        <w:t>o zakres</w:t>
      </w:r>
      <w:r w:rsidRPr="00ED4A13">
        <w:rPr>
          <w:rFonts w:asciiTheme="majorBidi" w:eastAsiaTheme="minorHAnsi" w:hAnsiTheme="majorBidi" w:cstheme="majorBidi"/>
        </w:rPr>
        <w:t xml:space="preserve"> tych informacji,</w:t>
      </w:r>
    </w:p>
    <w:p w14:paraId="136423FE" w14:textId="0561840F" w:rsidR="00ED4A13" w:rsidRDefault="00ED4A13" w:rsidP="00C90852">
      <w:pPr>
        <w:numPr>
          <w:ilvl w:val="0"/>
          <w:numId w:val="7"/>
        </w:numPr>
        <w:spacing w:after="200" w:line="276" w:lineRule="auto"/>
        <w:ind w:left="1134" w:hanging="283"/>
        <w:contextualSpacing/>
        <w:jc w:val="both"/>
        <w:rPr>
          <w:rFonts w:asciiTheme="majorBidi" w:eastAsiaTheme="minorHAnsi" w:hAnsiTheme="majorBidi" w:cstheme="majorBidi"/>
        </w:rPr>
      </w:pPr>
      <w:r w:rsidRPr="00ED4A13">
        <w:rPr>
          <w:rFonts w:asciiTheme="majorBidi" w:eastAsiaTheme="minorHAnsi" w:hAnsiTheme="majorBidi" w:cstheme="majorBidi"/>
        </w:rPr>
        <w:t>zmi</w:t>
      </w:r>
      <w:r w:rsidR="004D441E">
        <w:rPr>
          <w:rFonts w:asciiTheme="majorBidi" w:eastAsiaTheme="minorHAnsi" w:hAnsiTheme="majorBidi" w:cstheme="majorBidi"/>
        </w:rPr>
        <w:t>eniono zadania</w:t>
      </w:r>
      <w:r w:rsidRPr="00ED4A13">
        <w:rPr>
          <w:rFonts w:asciiTheme="majorBidi" w:eastAsiaTheme="minorHAnsi" w:hAnsiTheme="majorBidi" w:cstheme="majorBidi"/>
        </w:rPr>
        <w:t xml:space="preserve"> komitetu audytu.</w:t>
      </w:r>
    </w:p>
    <w:p w14:paraId="6A6D2E6A" w14:textId="77777777" w:rsidR="00C90852" w:rsidRPr="00ED4A13" w:rsidRDefault="00C90852" w:rsidP="00C90852">
      <w:pPr>
        <w:spacing w:after="200" w:line="276" w:lineRule="auto"/>
        <w:ind w:left="1134"/>
        <w:contextualSpacing/>
        <w:jc w:val="both"/>
        <w:rPr>
          <w:rFonts w:asciiTheme="majorBidi" w:eastAsiaTheme="minorHAnsi" w:hAnsiTheme="majorBidi" w:cstheme="majorBidi"/>
        </w:rPr>
      </w:pPr>
    </w:p>
    <w:p w14:paraId="02A66330" w14:textId="1E1A9F77" w:rsidR="00ED4A13" w:rsidRPr="00ED4A13" w:rsidRDefault="00ED4A13" w:rsidP="00C90852">
      <w:pPr>
        <w:spacing w:line="276" w:lineRule="auto"/>
        <w:jc w:val="both"/>
        <w:rPr>
          <w:rFonts w:asciiTheme="majorBidi" w:eastAsiaTheme="minorHAnsi" w:hAnsiTheme="majorBidi" w:cstheme="majorBidi"/>
        </w:rPr>
      </w:pPr>
      <w:r w:rsidRPr="00ED4A13">
        <w:rPr>
          <w:rFonts w:asciiTheme="majorBidi" w:eastAsiaTheme="minorHAnsi" w:hAnsiTheme="majorBidi" w:cstheme="majorBidi"/>
        </w:rPr>
        <w:t>Wprowadzenie przeglądów wydatków, stanowi wypełnienie zaleceń Komisji Europejskiej, w zakresie poprawy zarządzania finansami publicznymi.</w:t>
      </w:r>
      <w:r w:rsidR="00857D42">
        <w:rPr>
          <w:rFonts w:asciiTheme="majorBidi" w:eastAsiaTheme="minorHAnsi" w:hAnsiTheme="majorBidi" w:cstheme="majorBidi"/>
        </w:rPr>
        <w:t xml:space="preserve"> </w:t>
      </w:r>
      <w:r w:rsidRPr="00ED4A13">
        <w:rPr>
          <w:rFonts w:asciiTheme="majorBidi" w:eastAsiaTheme="minorHAnsi" w:hAnsiTheme="majorBidi" w:cstheme="majorBidi"/>
        </w:rPr>
        <w:t xml:space="preserve">Przeglądy wydatków stanowią jedno z narzędzi oceny efektywności wydatków wykorzystywane w krajach będących członkami </w:t>
      </w:r>
      <w:r w:rsidRPr="00ED4A13">
        <w:rPr>
          <w:rFonts w:asciiTheme="majorBidi" w:eastAsiaTheme="minorHAnsi" w:hAnsiTheme="majorBidi" w:cstheme="majorBidi"/>
        </w:rPr>
        <w:lastRenderedPageBreak/>
        <w:t>Organizacji Współpracy Gospodarczej i Rozwoju (</w:t>
      </w:r>
      <w:r w:rsidRPr="00ED4A13">
        <w:rPr>
          <w:rFonts w:asciiTheme="majorBidi" w:eastAsiaTheme="minorHAnsi" w:hAnsiTheme="majorBidi" w:cstheme="majorBidi"/>
          <w:i/>
        </w:rPr>
        <w:t>OECD</w:t>
      </w:r>
      <w:r w:rsidRPr="00ED4A13">
        <w:rPr>
          <w:rFonts w:asciiTheme="majorBidi" w:eastAsiaTheme="minorHAnsi" w:hAnsiTheme="majorBidi" w:cstheme="majorBidi"/>
        </w:rPr>
        <w:t xml:space="preserve">). Zgodnie z zaleceniami </w:t>
      </w:r>
      <w:r w:rsidRPr="00ED4A13">
        <w:rPr>
          <w:rFonts w:asciiTheme="majorBidi" w:eastAsiaTheme="minorHAnsi" w:hAnsiTheme="majorBidi" w:cstheme="majorBidi"/>
          <w:i/>
        </w:rPr>
        <w:t>OECD</w:t>
      </w:r>
      <w:r w:rsidRPr="00ED4A13">
        <w:rPr>
          <w:rFonts w:asciiTheme="majorBidi" w:eastAsiaTheme="minorHAnsi" w:hAnsiTheme="majorBidi" w:cstheme="majorBidi"/>
        </w:rPr>
        <w:t xml:space="preserve"> i</w:t>
      </w:r>
      <w:r w:rsidR="00857D42">
        <w:rPr>
          <w:rFonts w:asciiTheme="majorBidi" w:eastAsiaTheme="minorHAnsi" w:hAnsiTheme="majorBidi" w:cstheme="majorBidi"/>
        </w:rPr>
        <w:t> </w:t>
      </w:r>
      <w:r w:rsidRPr="00ED4A13">
        <w:rPr>
          <w:rFonts w:asciiTheme="majorBidi" w:eastAsiaTheme="minorHAnsi" w:hAnsiTheme="majorBidi" w:cstheme="majorBidi"/>
        </w:rPr>
        <w:t>innych organizacji międzynarodowych (np. Międzynarodowego Funduszu Walutowego), informacje pochodzące z analizy efektywności wydatkowania środków publicznych powinny być wykorzystywane w procesie podejmowania decyzji w kolejnych latach budżetowych. Przeglądy wydatków wspierają efektywną konsolidację fiskalną, poprzez wskazywanie wydatków mało efektywnych lub niezgodnych z priorytetami Rady Ministrów. Ułatwiają przez to wprowadzanie zmian w strukturze wydatków, służąc jednocześnie podnoszeniu ich jakości.</w:t>
      </w:r>
    </w:p>
    <w:p w14:paraId="01AA0E4B" w14:textId="77777777" w:rsidR="00CE13F3" w:rsidRDefault="00CE13F3" w:rsidP="00713591">
      <w:pPr>
        <w:spacing w:line="276" w:lineRule="auto"/>
        <w:jc w:val="both"/>
        <w:rPr>
          <w:rFonts w:ascii="Times New Roman" w:hAnsi="Times New Roman"/>
        </w:rPr>
      </w:pPr>
    </w:p>
    <w:p w14:paraId="73F2FD0E" w14:textId="77777777" w:rsidR="00CE13F3" w:rsidRDefault="00CE13F3" w:rsidP="00713591">
      <w:pPr>
        <w:spacing w:line="276" w:lineRule="auto"/>
        <w:jc w:val="both"/>
        <w:rPr>
          <w:rFonts w:ascii="Times New Roman" w:hAnsi="Times New Roman"/>
        </w:rPr>
      </w:pPr>
      <w:r>
        <w:rPr>
          <w:rFonts w:ascii="Times New Roman" w:hAnsi="Times New Roman"/>
        </w:rPr>
        <w:t>Projekt obejmuje również zmianę przepisów innych aktów prawnych:</w:t>
      </w:r>
    </w:p>
    <w:p w14:paraId="51DBE7D6"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17 listopada 1964 r. – Kodeks postępowania cywilnego, </w:t>
      </w:r>
    </w:p>
    <w:p w14:paraId="4E4FEF39"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17 czerwca 1966 r. o postępowani</w:t>
      </w:r>
      <w:r>
        <w:rPr>
          <w:rFonts w:ascii="Times New Roman" w:hAnsi="Times New Roman"/>
        </w:rPr>
        <w:t>u egzekucyjnym w administracji,</w:t>
      </w:r>
    </w:p>
    <w:p w14:paraId="7C6C9085"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6 kwietnia 1990 r. o Policji, </w:t>
      </w:r>
    </w:p>
    <w:p w14:paraId="39870737"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12 października 1990 r. o Straży Granicznej, </w:t>
      </w:r>
    </w:p>
    <w:p w14:paraId="100B23C5"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20 grudnia 1990 r. o ubezpieczeniu społecznym rolników, </w:t>
      </w:r>
    </w:p>
    <w:p w14:paraId="2C8EA917"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24 sierpnia 1991 r. o Państwowej Straży Pożarnej, </w:t>
      </w:r>
    </w:p>
    <w:p w14:paraId="2BA1D34F" w14:textId="75DC7279"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27 października 1994 r. o autostradach płatnych</w:t>
      </w:r>
      <w:r w:rsidR="00B31B67">
        <w:rPr>
          <w:rFonts w:ascii="Times New Roman" w:hAnsi="Times New Roman"/>
        </w:rPr>
        <w:t xml:space="preserve"> oraz o Krajowym Funduszu Drogowym</w:t>
      </w:r>
      <w:r w:rsidRPr="003F5471">
        <w:rPr>
          <w:rFonts w:ascii="Times New Roman" w:hAnsi="Times New Roman"/>
        </w:rPr>
        <w:t xml:space="preserve">, </w:t>
      </w:r>
    </w:p>
    <w:p w14:paraId="2C776831"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26 października 1995 r. o niektórych formach popierania budownictwa mieszkaniowego, </w:t>
      </w:r>
    </w:p>
    <w:p w14:paraId="5E53E91C"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8 sierpnia 1996 r. o Radzie Ministrów, </w:t>
      </w:r>
    </w:p>
    <w:p w14:paraId="7C0C057C" w14:textId="13AE2625" w:rsidR="003F5471" w:rsidRPr="00C51AB0" w:rsidRDefault="003F5471" w:rsidP="00E82C4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6 czerwca 1997 r. </w:t>
      </w:r>
      <w:r w:rsidR="00E82C41">
        <w:rPr>
          <w:rFonts w:ascii="Times New Roman" w:hAnsi="Times New Roman"/>
        </w:rPr>
        <w:t>–</w:t>
      </w:r>
      <w:r w:rsidRPr="003F5471">
        <w:rPr>
          <w:rFonts w:ascii="Times New Roman" w:hAnsi="Times New Roman"/>
        </w:rPr>
        <w:t xml:space="preserve"> </w:t>
      </w:r>
      <w:r w:rsidRPr="00C51AB0">
        <w:rPr>
          <w:rFonts w:ascii="Times New Roman" w:hAnsi="Times New Roman"/>
        </w:rPr>
        <w:t xml:space="preserve">Kodeks karny wykonawczy, </w:t>
      </w:r>
    </w:p>
    <w:p w14:paraId="56908E58"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27 sierpnia 1997 r. o rehabilitacji zawodowej i społecznej oraz zatrudnianiu osób niepełnosprawnych, </w:t>
      </w:r>
    </w:p>
    <w:p w14:paraId="6DC8D707"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13 października 1998 r. o systemie ubezpieczeń społecznych, </w:t>
      </w:r>
    </w:p>
    <w:p w14:paraId="3E400598"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27 lipca 2001 r. – Prawo o ustroju sądów powszechnych, </w:t>
      </w:r>
    </w:p>
    <w:p w14:paraId="3BC7B458"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5 grudnia 2002 r. o dopłatach do oprocentowania kredytów mieszkaniowych o stałej stopie procentowej, </w:t>
      </w:r>
    </w:p>
    <w:p w14:paraId="7D726D8B" w14:textId="17F0E862" w:rsidR="003F5471" w:rsidRPr="00C51AB0" w:rsidRDefault="003F5471" w:rsidP="00E82C4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28 lutego 2003 r. </w:t>
      </w:r>
      <w:r w:rsidR="00E82C41">
        <w:rPr>
          <w:rFonts w:ascii="Times New Roman" w:hAnsi="Times New Roman"/>
        </w:rPr>
        <w:t>–</w:t>
      </w:r>
      <w:r w:rsidRPr="00C51AB0">
        <w:rPr>
          <w:rFonts w:ascii="Times New Roman" w:hAnsi="Times New Roman"/>
        </w:rPr>
        <w:t xml:space="preserve"> Prawo upadłościowe, </w:t>
      </w:r>
    </w:p>
    <w:p w14:paraId="4B2C8982"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20 kwietnia 2004 r. o promocji zatrudnie</w:t>
      </w:r>
      <w:r>
        <w:rPr>
          <w:rFonts w:ascii="Times New Roman" w:hAnsi="Times New Roman"/>
        </w:rPr>
        <w:t>nia i instytucjach rynku pracy,</w:t>
      </w:r>
    </w:p>
    <w:p w14:paraId="74D73D15"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16 grudnia 2005 r. o Funduszu Kolejowym, </w:t>
      </w:r>
    </w:p>
    <w:p w14:paraId="79DFC328"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13 lipca 2006 r. o ochronie roszczeń pracowniczych w razie niewypłacalności pracodawcy, </w:t>
      </w:r>
    </w:p>
    <w:p w14:paraId="6EF6911F"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21 listopada 2008 r. o wspieraniu term</w:t>
      </w:r>
      <w:r>
        <w:rPr>
          <w:rFonts w:ascii="Times New Roman" w:hAnsi="Times New Roman"/>
        </w:rPr>
        <w:t>omodernizacji i remontów oraz o </w:t>
      </w:r>
      <w:r w:rsidRPr="003F5471">
        <w:rPr>
          <w:rFonts w:ascii="Times New Roman" w:hAnsi="Times New Roman"/>
        </w:rPr>
        <w:t xml:space="preserve">centralnej ewidencji emisyjności budynków, </w:t>
      </w:r>
    </w:p>
    <w:p w14:paraId="6673781B" w14:textId="7C8D12E1"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21 listopa</w:t>
      </w:r>
      <w:r>
        <w:rPr>
          <w:rFonts w:ascii="Times New Roman" w:hAnsi="Times New Roman"/>
        </w:rPr>
        <w:t xml:space="preserve">da 2008 r. o </w:t>
      </w:r>
      <w:r w:rsidRPr="003F5471">
        <w:rPr>
          <w:rFonts w:ascii="Times New Roman" w:hAnsi="Times New Roman"/>
        </w:rPr>
        <w:t xml:space="preserve">służbie cywilnej, </w:t>
      </w:r>
    </w:p>
    <w:p w14:paraId="2EFCA6A1"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24 lipca 2015 r. o Radzie Dialogu Społecznego i innych instytucjach dialogu społecznego, </w:t>
      </w:r>
    </w:p>
    <w:p w14:paraId="36F9EDA6"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9 października 2015 r. o wsparciu kredytobiorców, którzy zaciągnęli kredyt  mieszkaniowy i znajdują się w trudnej sytuacji finansowej, </w:t>
      </w:r>
    </w:p>
    <w:p w14:paraId="05E73470" w14:textId="77777777" w:rsidR="00D06232" w:rsidRDefault="003F5471" w:rsidP="00E82C41">
      <w:pPr>
        <w:pStyle w:val="Akapitzlist"/>
        <w:numPr>
          <w:ilvl w:val="0"/>
          <w:numId w:val="5"/>
        </w:numPr>
        <w:spacing w:line="276" w:lineRule="auto"/>
        <w:jc w:val="both"/>
        <w:rPr>
          <w:rFonts w:ascii="Times New Roman" w:hAnsi="Times New Roman"/>
        </w:rPr>
      </w:pPr>
      <w:r>
        <w:rPr>
          <w:rFonts w:ascii="Times New Roman" w:hAnsi="Times New Roman"/>
        </w:rPr>
        <w:t xml:space="preserve">ustawy </w:t>
      </w:r>
      <w:r w:rsidRPr="003F5471">
        <w:rPr>
          <w:rFonts w:ascii="Times New Roman" w:hAnsi="Times New Roman"/>
        </w:rPr>
        <w:t xml:space="preserve">z dnia 28 stycznia 2016 r. </w:t>
      </w:r>
      <w:r w:rsidR="00E82C41">
        <w:rPr>
          <w:rFonts w:ascii="Times New Roman" w:hAnsi="Times New Roman"/>
        </w:rPr>
        <w:t>–</w:t>
      </w:r>
      <w:r w:rsidRPr="00C51AB0">
        <w:rPr>
          <w:rFonts w:ascii="Times New Roman" w:hAnsi="Times New Roman"/>
        </w:rPr>
        <w:t xml:space="preserve"> Prawo o prokuraturze,</w:t>
      </w:r>
    </w:p>
    <w:p w14:paraId="5FB93984" w14:textId="69C07059" w:rsidR="003F5471" w:rsidRPr="00D97C25" w:rsidRDefault="00D06232" w:rsidP="00D97C25">
      <w:pPr>
        <w:pStyle w:val="Akapitzlist"/>
        <w:numPr>
          <w:ilvl w:val="0"/>
          <w:numId w:val="5"/>
        </w:numPr>
        <w:spacing w:line="276" w:lineRule="auto"/>
        <w:jc w:val="both"/>
        <w:rPr>
          <w:rFonts w:ascii="Times New Roman" w:hAnsi="Times New Roman"/>
        </w:rPr>
      </w:pPr>
      <w:r>
        <w:rPr>
          <w:rFonts w:ascii="Times New Roman" w:hAnsi="Times New Roman"/>
        </w:rPr>
        <w:t>ustawy</w:t>
      </w:r>
      <w:r w:rsidRPr="00D06232">
        <w:rPr>
          <w:rFonts w:ascii="Times New Roman" w:hAnsi="Times New Roman"/>
        </w:rPr>
        <w:t xml:space="preserve"> z dnia 15 września 2017 r. o Narodowym Instytucie Wolności </w:t>
      </w:r>
      <w:r w:rsidR="00D97C25">
        <w:rPr>
          <w:rFonts w:ascii="Times New Roman" w:hAnsi="Times New Roman"/>
        </w:rPr>
        <w:t>–</w:t>
      </w:r>
      <w:r w:rsidRPr="00D06232">
        <w:rPr>
          <w:rFonts w:ascii="Times New Roman" w:hAnsi="Times New Roman"/>
        </w:rPr>
        <w:t xml:space="preserve"> </w:t>
      </w:r>
      <w:r w:rsidRPr="00D97C25">
        <w:rPr>
          <w:rFonts w:ascii="Times New Roman" w:hAnsi="Times New Roman"/>
        </w:rPr>
        <w:t>Centrum Rozwoju Społeczeństwa Obywatelskiego,</w:t>
      </w:r>
    </w:p>
    <w:p w14:paraId="0F5B084A"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lastRenderedPageBreak/>
        <w:t>ustawy</w:t>
      </w:r>
      <w:r w:rsidRPr="003F5471">
        <w:rPr>
          <w:rFonts w:ascii="Times New Roman" w:hAnsi="Times New Roman"/>
        </w:rPr>
        <w:t xml:space="preserve"> z dnia 20 lipca 2018 r. Prawo </w:t>
      </w:r>
      <w:r>
        <w:rPr>
          <w:rFonts w:ascii="Times New Roman" w:hAnsi="Times New Roman"/>
        </w:rPr>
        <w:t>o szkolnictwie wyższym i nauce,</w:t>
      </w:r>
    </w:p>
    <w:p w14:paraId="14C56936"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23 października 2018 </w:t>
      </w:r>
      <w:r>
        <w:rPr>
          <w:rFonts w:ascii="Times New Roman" w:hAnsi="Times New Roman"/>
        </w:rPr>
        <w:t>r. o Funduszu Solidarnościowym,</w:t>
      </w:r>
    </w:p>
    <w:p w14:paraId="261DC471"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4 kwietnia 2019 r. o wspieraniu działalności naukowej z Funduszu Polskiej Nauki, </w:t>
      </w:r>
    </w:p>
    <w:p w14:paraId="655D73AA" w14:textId="77777777"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w:t>
      </w:r>
      <w:r w:rsidRPr="003F5471">
        <w:rPr>
          <w:rFonts w:ascii="Times New Roman" w:hAnsi="Times New Roman"/>
        </w:rPr>
        <w:t xml:space="preserve"> z dnia 31 lipca 2019 r. o wsparciu finansowym armatorów śródlądowych, Funduszu Żeglugi Śródlądowej i Funduszu Rezerwowym, </w:t>
      </w:r>
    </w:p>
    <w:p w14:paraId="479C2290" w14:textId="173D2C3C"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 marca 2020 r. o szczególnych rozwiązaniach związany</w:t>
      </w:r>
      <w:r>
        <w:rPr>
          <w:rFonts w:ascii="Times New Roman" w:hAnsi="Times New Roman"/>
        </w:rPr>
        <w:t>ch z </w:t>
      </w:r>
      <w:r w:rsidRPr="003F5471">
        <w:rPr>
          <w:rFonts w:ascii="Times New Roman" w:hAnsi="Times New Roman"/>
        </w:rPr>
        <w:t xml:space="preserve">zapobieganiem, przeciwdziałaniem i zwalczaniem COVID-19, innych chorób zakaźnych, </w:t>
      </w:r>
    </w:p>
    <w:p w14:paraId="7ADB6609" w14:textId="6F175A66"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31 marca 2020 r. o zmianie ustawy o szczególnych rozwiązaniach związanych z zapobieganiem, przeciwdziałaniem i zwalczaniem COVID-19, innych chorób zakaźnych oraz wywołanych nimi sytuacji kryzysowych oraz niektórych innych ustaw, </w:t>
      </w:r>
    </w:p>
    <w:p w14:paraId="00535C25" w14:textId="6DF3FBA1"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19 czerwca 2020 r. o dopłatach do oprocentowania kredytów bankowych udzielanych przedsiębiorcom dotkniętym skutkami COVID-19 oraz o uproszczonym postępowaniu o zatwierdzenie układu w z</w:t>
      </w:r>
      <w:r>
        <w:rPr>
          <w:rFonts w:ascii="Times New Roman" w:hAnsi="Times New Roman"/>
        </w:rPr>
        <w:t>wiązku z wystąpieniem COVID-19</w:t>
      </w:r>
      <w:r w:rsidR="00B75E51">
        <w:rPr>
          <w:rFonts w:ascii="Times New Roman" w:hAnsi="Times New Roman"/>
        </w:rPr>
        <w:t>,</w:t>
      </w:r>
    </w:p>
    <w:p w14:paraId="35D3AC1A" w14:textId="44094400" w:rsidR="003F5471" w:rsidRDefault="003F5471" w:rsidP="003F5471">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14 sierpnia 2020 r. o szczególnych rozwiązaniach dotyczących wsparcia służb mundurowych nadzorowanych przez ministra właściwego do spraw wewnętrznych, o zmianie ustawy o Służbie Więziennej </w:t>
      </w:r>
      <w:r>
        <w:rPr>
          <w:rFonts w:ascii="Times New Roman" w:hAnsi="Times New Roman"/>
        </w:rPr>
        <w:t>oraz niektórych innych ustaw</w:t>
      </w:r>
      <w:r w:rsidR="00B75E51">
        <w:rPr>
          <w:rFonts w:ascii="Times New Roman" w:hAnsi="Times New Roman"/>
        </w:rPr>
        <w:t>,</w:t>
      </w:r>
    </w:p>
    <w:p w14:paraId="10944ACA" w14:textId="10A008B6" w:rsidR="00370BBF" w:rsidRPr="00D97C25" w:rsidRDefault="003F5471" w:rsidP="00D97C25">
      <w:pPr>
        <w:pStyle w:val="Akapitzlist"/>
        <w:numPr>
          <w:ilvl w:val="0"/>
          <w:numId w:val="5"/>
        </w:numPr>
        <w:spacing w:line="276" w:lineRule="auto"/>
        <w:jc w:val="both"/>
        <w:rPr>
          <w:rFonts w:ascii="Times New Roman" w:hAnsi="Times New Roman"/>
        </w:rPr>
      </w:pPr>
      <w:r>
        <w:rPr>
          <w:rFonts w:ascii="Times New Roman" w:hAnsi="Times New Roman"/>
        </w:rPr>
        <w:t>ustawy</w:t>
      </w:r>
      <w:r w:rsidRPr="003F5471">
        <w:rPr>
          <w:rFonts w:ascii="Times New Roman" w:hAnsi="Times New Roman"/>
        </w:rPr>
        <w:t xml:space="preserve"> z dnia 20 maja 2021 r. o zmianie ustawy </w:t>
      </w:r>
      <w:r w:rsidR="00D97C25">
        <w:rPr>
          <w:rFonts w:ascii="Times New Roman" w:hAnsi="Times New Roman"/>
        </w:rPr>
        <w:t>–</w:t>
      </w:r>
      <w:r w:rsidR="00B75E51">
        <w:rPr>
          <w:rFonts w:ascii="Times New Roman" w:hAnsi="Times New Roman"/>
        </w:rPr>
        <w:t xml:space="preserve"> </w:t>
      </w:r>
      <w:r w:rsidR="00B75E51" w:rsidRPr="00D97C25">
        <w:rPr>
          <w:rFonts w:ascii="Times New Roman" w:hAnsi="Times New Roman"/>
        </w:rPr>
        <w:t>Prawo o prokuraturze, ustawy o </w:t>
      </w:r>
      <w:r w:rsidRPr="00D97C25">
        <w:rPr>
          <w:rFonts w:ascii="Times New Roman" w:hAnsi="Times New Roman"/>
        </w:rPr>
        <w:t>finansach publicznych oraz niektórych innych ustaw</w:t>
      </w:r>
      <w:r w:rsidR="00370BBF" w:rsidRPr="00D97C25">
        <w:rPr>
          <w:rFonts w:ascii="Times New Roman" w:hAnsi="Times New Roman"/>
        </w:rPr>
        <w:t>,</w:t>
      </w:r>
    </w:p>
    <w:p w14:paraId="63273C9D" w14:textId="6C35EAE6" w:rsidR="00370BBF" w:rsidRDefault="00370BBF" w:rsidP="00370BBF">
      <w:pPr>
        <w:pStyle w:val="Akapitzlist"/>
        <w:numPr>
          <w:ilvl w:val="0"/>
          <w:numId w:val="5"/>
        </w:numPr>
        <w:spacing w:line="276" w:lineRule="auto"/>
        <w:jc w:val="both"/>
        <w:rPr>
          <w:rFonts w:ascii="Times New Roman" w:hAnsi="Times New Roman"/>
        </w:rPr>
      </w:pPr>
      <w:r>
        <w:rPr>
          <w:rFonts w:ascii="Times New Roman" w:hAnsi="Times New Roman"/>
        </w:rPr>
        <w:t>ustawy</w:t>
      </w:r>
      <w:r w:rsidRPr="00370BBF">
        <w:rPr>
          <w:rFonts w:ascii="Times New Roman" w:hAnsi="Times New Roman"/>
        </w:rPr>
        <w:t xml:space="preserve"> z dnia 11 marca 2022 r. o obronie </w:t>
      </w:r>
      <w:r>
        <w:rPr>
          <w:rFonts w:ascii="Times New Roman" w:hAnsi="Times New Roman"/>
        </w:rPr>
        <w:t>Ojczyzny,</w:t>
      </w:r>
    </w:p>
    <w:p w14:paraId="55EC9D22" w14:textId="151101C3" w:rsidR="003F5471" w:rsidRDefault="00370BBF" w:rsidP="00370BBF">
      <w:pPr>
        <w:pStyle w:val="Akapitzlist"/>
        <w:numPr>
          <w:ilvl w:val="0"/>
          <w:numId w:val="5"/>
        </w:numPr>
        <w:spacing w:line="276" w:lineRule="auto"/>
        <w:jc w:val="both"/>
        <w:rPr>
          <w:rFonts w:ascii="Times New Roman" w:hAnsi="Times New Roman"/>
        </w:rPr>
      </w:pPr>
      <w:r w:rsidRPr="00370BBF">
        <w:rPr>
          <w:rFonts w:ascii="Times New Roman" w:hAnsi="Times New Roman"/>
        </w:rPr>
        <w:t>us</w:t>
      </w:r>
      <w:r>
        <w:rPr>
          <w:rFonts w:ascii="Times New Roman" w:hAnsi="Times New Roman"/>
        </w:rPr>
        <w:t xml:space="preserve">tawy z dnia 12 marca 2022 r. o </w:t>
      </w:r>
      <w:r w:rsidRPr="00370BBF">
        <w:rPr>
          <w:rFonts w:ascii="Times New Roman" w:hAnsi="Times New Roman"/>
        </w:rPr>
        <w:t>pomocy obywatelom Ukrainy w związku z konfliktem zbroj</w:t>
      </w:r>
      <w:r>
        <w:rPr>
          <w:rFonts w:ascii="Times New Roman" w:hAnsi="Times New Roman"/>
        </w:rPr>
        <w:t>nym na terytorium tego państwa</w:t>
      </w:r>
      <w:r w:rsidRPr="00370BBF">
        <w:rPr>
          <w:rFonts w:ascii="Times New Roman" w:hAnsi="Times New Roman"/>
        </w:rPr>
        <w:t>.</w:t>
      </w:r>
    </w:p>
    <w:p w14:paraId="639FA2CB" w14:textId="77777777" w:rsidR="00CE13F3" w:rsidRPr="00D0465D" w:rsidRDefault="00CE13F3" w:rsidP="00713591">
      <w:pPr>
        <w:spacing w:line="276" w:lineRule="auto"/>
        <w:jc w:val="both"/>
      </w:pPr>
    </w:p>
    <w:p w14:paraId="11019B9C" w14:textId="1011E5FB" w:rsidR="00FF0996" w:rsidRDefault="00DE57EA" w:rsidP="00713591">
      <w:pPr>
        <w:spacing w:after="120" w:line="276" w:lineRule="auto"/>
        <w:jc w:val="both"/>
        <w:rPr>
          <w:rFonts w:ascii="Times New Roman" w:hAnsi="Times New Roman"/>
        </w:rPr>
      </w:pPr>
      <w:r w:rsidRPr="00DE57EA">
        <w:rPr>
          <w:rFonts w:ascii="Times New Roman" w:hAnsi="Times New Roman"/>
        </w:rPr>
        <w:t xml:space="preserve">Oczekiwanym efektem proponowanych zmian jest m.in. efektywniejsze i bardziej elastyczne zarządzanie wydatkami budżetu państwa, długiem Skarbu Państwa, </w:t>
      </w:r>
      <w:r w:rsidR="00857D42">
        <w:rPr>
          <w:rFonts w:ascii="Times New Roman" w:hAnsi="Times New Roman"/>
        </w:rPr>
        <w:t xml:space="preserve">w tym </w:t>
      </w:r>
      <w:r w:rsidRPr="00DE57EA">
        <w:rPr>
          <w:rFonts w:ascii="Times New Roman" w:hAnsi="Times New Roman"/>
        </w:rPr>
        <w:t>udoskonalenie</w:t>
      </w:r>
      <w:r w:rsidR="00857D42">
        <w:rPr>
          <w:rFonts w:ascii="Times New Roman" w:hAnsi="Times New Roman"/>
        </w:rPr>
        <w:t xml:space="preserve"> i </w:t>
      </w:r>
      <w:r w:rsidRPr="00DE57EA">
        <w:rPr>
          <w:rFonts w:ascii="Times New Roman" w:hAnsi="Times New Roman"/>
        </w:rPr>
        <w:t>usprawnienie istniejących procesów.</w:t>
      </w:r>
      <w:r>
        <w:rPr>
          <w:rFonts w:ascii="Times New Roman" w:hAnsi="Times New Roman"/>
        </w:rPr>
        <w:t xml:space="preserve"> </w:t>
      </w:r>
      <w:r w:rsidR="00417C84">
        <w:rPr>
          <w:rFonts w:ascii="Times New Roman" w:hAnsi="Times New Roman"/>
        </w:rPr>
        <w:t>W</w:t>
      </w:r>
      <w:r w:rsidR="00CE13F3">
        <w:rPr>
          <w:rFonts w:ascii="Times New Roman" w:hAnsi="Times New Roman"/>
        </w:rPr>
        <w:t>yeliminowane zostaną istniejące wątpliwości interpretacyjne w obowiązujących przepisach, co ułatwi ich stosowanie w przyszłości.</w:t>
      </w:r>
    </w:p>
    <w:p w14:paraId="4AE7A7D7" w14:textId="77777777" w:rsidR="00B75E51" w:rsidRPr="008E5FB3" w:rsidRDefault="00B75E51" w:rsidP="00713591">
      <w:pPr>
        <w:spacing w:after="120" w:line="276" w:lineRule="auto"/>
        <w:jc w:val="both"/>
        <w:rPr>
          <w:rFonts w:ascii="Times New Roman" w:eastAsia="Times New Roman" w:hAnsi="Times New Roman"/>
          <w:lang w:eastAsia="pl-PL"/>
        </w:rPr>
      </w:pPr>
    </w:p>
    <w:p w14:paraId="744A9918" w14:textId="02950303" w:rsidR="00CC298B" w:rsidRPr="00417C84" w:rsidRDefault="00CC298B" w:rsidP="00713591">
      <w:pPr>
        <w:pStyle w:val="Akapitzlist"/>
        <w:numPr>
          <w:ilvl w:val="0"/>
          <w:numId w:val="4"/>
        </w:numPr>
        <w:suppressAutoHyphens/>
        <w:autoSpaceDE w:val="0"/>
        <w:autoSpaceDN w:val="0"/>
        <w:adjustRightInd w:val="0"/>
        <w:spacing w:before="120" w:line="276" w:lineRule="auto"/>
        <w:jc w:val="both"/>
        <w:rPr>
          <w:rFonts w:ascii="Times New Roman" w:eastAsia="Times New Roman" w:hAnsi="Times New Roman"/>
          <w:b/>
          <w:bCs/>
          <w:lang w:eastAsia="pl-PL"/>
        </w:rPr>
      </w:pPr>
      <w:r w:rsidRPr="00417C84">
        <w:rPr>
          <w:rFonts w:ascii="Times New Roman" w:eastAsia="Times New Roman" w:hAnsi="Times New Roman"/>
          <w:b/>
          <w:bCs/>
          <w:lang w:eastAsia="pl-PL"/>
        </w:rPr>
        <w:t>Szczegółowy zakres projektowanych zmian</w:t>
      </w:r>
    </w:p>
    <w:p w14:paraId="1E8F82AE" w14:textId="77777777" w:rsidR="00417C84" w:rsidRPr="00417C84" w:rsidRDefault="00417C84" w:rsidP="00713591">
      <w:pPr>
        <w:pStyle w:val="Akapitzlist"/>
        <w:suppressAutoHyphens/>
        <w:autoSpaceDE w:val="0"/>
        <w:autoSpaceDN w:val="0"/>
        <w:adjustRightInd w:val="0"/>
        <w:spacing w:before="120" w:line="276" w:lineRule="auto"/>
        <w:ind w:left="1080"/>
        <w:jc w:val="both"/>
        <w:rPr>
          <w:rFonts w:ascii="Times New Roman" w:eastAsia="Times New Roman" w:hAnsi="Times New Roman"/>
          <w:b/>
          <w:bCs/>
          <w:lang w:eastAsia="pl-PL"/>
        </w:rPr>
      </w:pPr>
    </w:p>
    <w:p w14:paraId="6CE02C92" w14:textId="77777777" w:rsidR="00CC298B" w:rsidRPr="008E5FB3" w:rsidRDefault="00CC298B" w:rsidP="00713591">
      <w:pPr>
        <w:suppressAutoHyphens/>
        <w:autoSpaceDE w:val="0"/>
        <w:autoSpaceDN w:val="0"/>
        <w:adjustRightInd w:val="0"/>
        <w:spacing w:before="120" w:line="276" w:lineRule="auto"/>
        <w:jc w:val="both"/>
        <w:rPr>
          <w:rFonts w:ascii="Times New Roman" w:eastAsia="Times New Roman" w:hAnsi="Times New Roman"/>
          <w:b/>
          <w:bCs/>
          <w:u w:val="single"/>
          <w:lang w:eastAsia="pl-PL"/>
        </w:rPr>
      </w:pPr>
      <w:r w:rsidRPr="008E5FB3">
        <w:rPr>
          <w:rFonts w:ascii="Times New Roman" w:eastAsia="Times New Roman" w:hAnsi="Times New Roman"/>
          <w:b/>
          <w:bCs/>
          <w:u w:val="single"/>
          <w:lang w:eastAsia="pl-PL"/>
        </w:rPr>
        <w:t>Układ zadaniowy</w:t>
      </w:r>
    </w:p>
    <w:p w14:paraId="6F1ACACE" w14:textId="77777777" w:rsidR="0056734F" w:rsidRPr="008E5FB3" w:rsidRDefault="0056734F" w:rsidP="00713591">
      <w:pPr>
        <w:spacing w:line="276" w:lineRule="auto"/>
        <w:jc w:val="both"/>
        <w:rPr>
          <w:rFonts w:ascii="Times New Roman" w:hAnsi="Times New Roman"/>
          <w:b/>
          <w:i/>
        </w:rPr>
      </w:pPr>
    </w:p>
    <w:p w14:paraId="71E34515" w14:textId="1EADE3AB" w:rsidR="004B399D" w:rsidRPr="008E5FB3" w:rsidRDefault="004B399D" w:rsidP="00713591">
      <w:pPr>
        <w:spacing w:line="276" w:lineRule="auto"/>
        <w:jc w:val="both"/>
        <w:rPr>
          <w:rFonts w:ascii="Times New Roman" w:hAnsi="Times New Roman"/>
          <w:b/>
          <w:i/>
        </w:rPr>
      </w:pPr>
      <w:r w:rsidRPr="008E5FB3">
        <w:rPr>
          <w:rFonts w:ascii="Times New Roman" w:hAnsi="Times New Roman"/>
          <w:b/>
          <w:i/>
        </w:rPr>
        <w:t>zmiana w art. 2</w:t>
      </w:r>
      <w:r w:rsidR="004D38D5">
        <w:rPr>
          <w:rFonts w:ascii="Times New Roman" w:hAnsi="Times New Roman"/>
          <w:b/>
          <w:i/>
        </w:rPr>
        <w:t xml:space="preserve"> pkt 3</w:t>
      </w:r>
      <w:r w:rsidR="00F543B0">
        <w:rPr>
          <w:rFonts w:ascii="Times New Roman" w:hAnsi="Times New Roman"/>
          <w:b/>
          <w:i/>
        </w:rPr>
        <w:t xml:space="preserve"> i art. 41</w:t>
      </w:r>
      <w:r w:rsidR="004D38D5">
        <w:rPr>
          <w:rFonts w:ascii="Times New Roman" w:hAnsi="Times New Roman"/>
          <w:b/>
          <w:i/>
        </w:rPr>
        <w:t xml:space="preserve"> ust. 3</w:t>
      </w:r>
    </w:p>
    <w:p w14:paraId="36DE2766" w14:textId="77777777" w:rsidR="0063497F" w:rsidRPr="008E5FB3" w:rsidRDefault="0063497F" w:rsidP="00713591">
      <w:pPr>
        <w:spacing w:line="276" w:lineRule="auto"/>
        <w:jc w:val="both"/>
        <w:rPr>
          <w:rFonts w:ascii="Times New Roman" w:hAnsi="Times New Roman"/>
          <w:b/>
          <w:i/>
        </w:rPr>
      </w:pPr>
    </w:p>
    <w:p w14:paraId="2FCB57C9" w14:textId="4563E8D7" w:rsidR="00AF74C1" w:rsidRDefault="00D304B7" w:rsidP="00713591">
      <w:pPr>
        <w:spacing w:line="276" w:lineRule="auto"/>
        <w:jc w:val="both"/>
        <w:rPr>
          <w:rFonts w:ascii="Times New Roman" w:hAnsi="Times New Roman"/>
        </w:rPr>
      </w:pPr>
      <w:r w:rsidRPr="008E5FB3">
        <w:rPr>
          <w:rFonts w:ascii="Times New Roman" w:hAnsi="Times New Roman"/>
        </w:rPr>
        <w:t xml:space="preserve">Projektowana zmiana w art. 2 pkt 3 </w:t>
      </w:r>
      <w:r w:rsidR="006A726E" w:rsidRPr="008E5FB3">
        <w:rPr>
          <w:rFonts w:ascii="Times New Roman" w:hAnsi="Times New Roman"/>
        </w:rPr>
        <w:t xml:space="preserve">ustawy </w:t>
      </w:r>
      <w:r w:rsidRPr="008E5FB3">
        <w:rPr>
          <w:rFonts w:ascii="Times New Roman" w:hAnsi="Times New Roman"/>
        </w:rPr>
        <w:t>zakłada ograniczenie</w:t>
      </w:r>
      <w:r w:rsidR="00AF74C1">
        <w:rPr>
          <w:rFonts w:ascii="Times New Roman" w:hAnsi="Times New Roman"/>
        </w:rPr>
        <w:t xml:space="preserve"> struktury</w:t>
      </w:r>
      <w:r w:rsidRPr="008E5FB3">
        <w:rPr>
          <w:rFonts w:ascii="Times New Roman" w:hAnsi="Times New Roman"/>
        </w:rPr>
        <w:t xml:space="preserve"> </w:t>
      </w:r>
      <w:r w:rsidR="006A726E" w:rsidRPr="008E5FB3">
        <w:rPr>
          <w:rFonts w:ascii="Times New Roman" w:hAnsi="Times New Roman"/>
        </w:rPr>
        <w:t xml:space="preserve">układu zadaniowego do dwóch podstawowych poziomów szczegółowości (zamiast dotychczasowych czterech), poprzez zrezygnowanie z najbardziej pracochłonnych dla dysponentów poziomów podzadań oraz działań </w:t>
      </w:r>
      <w:r w:rsidR="00D97C25">
        <w:rPr>
          <w:rFonts w:ascii="Times New Roman" w:hAnsi="Times New Roman"/>
        </w:rPr>
        <w:t>–</w:t>
      </w:r>
      <w:r w:rsidR="006A726E" w:rsidRPr="008E5FB3">
        <w:rPr>
          <w:rFonts w:ascii="Times New Roman" w:hAnsi="Times New Roman"/>
        </w:rPr>
        <w:t xml:space="preserve"> a więc pozostawienie jedynie poziomów niezbędnych oraz najbardziej użytecznych dla prezentacyjnego zastosowania tego układu (poziom funkcji państwa i zadań budżetowych).</w:t>
      </w:r>
    </w:p>
    <w:p w14:paraId="510F1D23" w14:textId="77777777" w:rsidR="001632B4" w:rsidRDefault="001632B4" w:rsidP="00713591">
      <w:pPr>
        <w:spacing w:line="276" w:lineRule="auto"/>
        <w:jc w:val="both"/>
        <w:rPr>
          <w:rFonts w:ascii="Times New Roman" w:hAnsi="Times New Roman"/>
        </w:rPr>
      </w:pPr>
    </w:p>
    <w:p w14:paraId="675FC8E8" w14:textId="2728679D" w:rsidR="00AF74C1" w:rsidRDefault="00AF74C1" w:rsidP="00713591">
      <w:pPr>
        <w:spacing w:line="276" w:lineRule="auto"/>
        <w:jc w:val="both"/>
        <w:rPr>
          <w:rFonts w:ascii="Times New Roman" w:hAnsi="Times New Roman"/>
        </w:rPr>
      </w:pPr>
      <w:r w:rsidRPr="00AF74C1">
        <w:rPr>
          <w:rFonts w:ascii="Times New Roman" w:hAnsi="Times New Roman"/>
        </w:rPr>
        <w:t>Zaproponowane ograniczenie znacząco zmniejszy obciążenia dysponentów związane z obsługą funkcjonowania zadaniowego planu wydatków i będzie adekwatne do zakresu prezentowanych danych w ramach układu zadaniowego w dokumentach rządowych.</w:t>
      </w:r>
    </w:p>
    <w:p w14:paraId="4BDD9EDB" w14:textId="77777777" w:rsidR="001632B4" w:rsidRDefault="001632B4" w:rsidP="00713591">
      <w:pPr>
        <w:spacing w:line="276" w:lineRule="auto"/>
        <w:jc w:val="both"/>
        <w:rPr>
          <w:rFonts w:ascii="Times New Roman" w:hAnsi="Times New Roman"/>
        </w:rPr>
      </w:pPr>
    </w:p>
    <w:p w14:paraId="0900892F" w14:textId="2605E411" w:rsidR="00F543B0" w:rsidRDefault="00680892" w:rsidP="00713591">
      <w:pPr>
        <w:spacing w:line="276" w:lineRule="auto"/>
        <w:jc w:val="both"/>
        <w:rPr>
          <w:rFonts w:ascii="Times New Roman" w:hAnsi="Times New Roman"/>
          <w:bCs/>
          <w:iCs/>
        </w:rPr>
      </w:pPr>
      <w:r w:rsidRPr="008E5FB3">
        <w:rPr>
          <w:rFonts w:ascii="Times New Roman" w:hAnsi="Times New Roman"/>
          <w:bCs/>
          <w:iCs/>
        </w:rPr>
        <w:t>Uszczegółowione informacje operacyjne znajdujące się dotąd na poziomie podzadań i działań będą mogły być stosowane przez dysponentów fakultatywnie w poszczególnych przypadkach, z uwagi na uzasadnione potrzeby zarządcze lub ze względu na stosowane w danej jednostce rozwiązania techniczne niezbędne dla przygotowania danych na poziomie funkcji i zadań w</w:t>
      </w:r>
      <w:r w:rsidR="000C4763">
        <w:rPr>
          <w:rFonts w:ascii="Times New Roman" w:hAnsi="Times New Roman"/>
          <w:bCs/>
          <w:iCs/>
        </w:rPr>
        <w:t> </w:t>
      </w:r>
      <w:r w:rsidRPr="008E5FB3">
        <w:rPr>
          <w:rFonts w:ascii="Times New Roman" w:hAnsi="Times New Roman"/>
          <w:bCs/>
          <w:iCs/>
        </w:rPr>
        <w:t>układzie zadaniowym. Należy przy tym podkreślić, iż funkcja rozliczalności ze skuteczności realizacji działań wykonywanych przez dysponentów – w</w:t>
      </w:r>
      <w:r w:rsidR="00FF0996" w:rsidRPr="008E5FB3">
        <w:rPr>
          <w:rFonts w:ascii="Times New Roman" w:hAnsi="Times New Roman"/>
          <w:bCs/>
          <w:iCs/>
        </w:rPr>
        <w:t> </w:t>
      </w:r>
      <w:r w:rsidRPr="008E5FB3">
        <w:rPr>
          <w:rFonts w:ascii="Times New Roman" w:hAnsi="Times New Roman"/>
          <w:bCs/>
          <w:iCs/>
        </w:rPr>
        <w:t xml:space="preserve">  operacyjnym (zarządczym) </w:t>
      </w:r>
      <w:r w:rsidR="0023791A" w:rsidRPr="008E5FB3">
        <w:rPr>
          <w:rFonts w:ascii="Times New Roman" w:hAnsi="Times New Roman"/>
          <w:bCs/>
          <w:iCs/>
        </w:rPr>
        <w:t xml:space="preserve">aspekcie </w:t>
      </w:r>
      <w:r w:rsidRPr="008E5FB3">
        <w:rPr>
          <w:rFonts w:ascii="Times New Roman" w:hAnsi="Times New Roman"/>
          <w:bCs/>
          <w:iCs/>
        </w:rPr>
        <w:t xml:space="preserve">jest już obecnie wypełniana w ramach planów działalności (kontroli zarządczej). </w:t>
      </w:r>
    </w:p>
    <w:p w14:paraId="3A5FAE22" w14:textId="4B0B1633" w:rsidR="00710CA4" w:rsidRPr="00A02393" w:rsidRDefault="0023791A" w:rsidP="00713591">
      <w:pPr>
        <w:spacing w:line="276" w:lineRule="auto"/>
        <w:jc w:val="both"/>
        <w:rPr>
          <w:rFonts w:ascii="Times New Roman" w:hAnsi="Times New Roman"/>
          <w:bCs/>
          <w:iCs/>
        </w:rPr>
      </w:pPr>
      <w:r>
        <w:rPr>
          <w:rFonts w:ascii="Times New Roman" w:hAnsi="Times New Roman"/>
          <w:bCs/>
          <w:iCs/>
        </w:rPr>
        <w:br/>
      </w:r>
      <w:r w:rsidR="00D4030E">
        <w:rPr>
          <w:rFonts w:ascii="Times New Roman" w:hAnsi="Times New Roman"/>
          <w:bCs/>
          <w:iCs/>
        </w:rPr>
        <w:t>Ponadto proponuje</w:t>
      </w:r>
      <w:r w:rsidR="00F543B0">
        <w:rPr>
          <w:rFonts w:ascii="Times New Roman" w:hAnsi="Times New Roman"/>
          <w:bCs/>
          <w:iCs/>
        </w:rPr>
        <w:t xml:space="preserve"> się </w:t>
      </w:r>
      <w:r w:rsidR="00F543B0" w:rsidRPr="00A02393">
        <w:rPr>
          <w:rFonts w:ascii="Times New Roman" w:hAnsi="Times New Roman"/>
          <w:bCs/>
          <w:iCs/>
        </w:rPr>
        <w:t xml:space="preserve">uchylenie w art. 41 ust. 3 stanowiącego delegację </w:t>
      </w:r>
      <w:r w:rsidR="00F543B0">
        <w:rPr>
          <w:rFonts w:ascii="Times New Roman" w:hAnsi="Times New Roman"/>
          <w:bCs/>
          <w:iCs/>
        </w:rPr>
        <w:t xml:space="preserve">ustawową </w:t>
      </w:r>
      <w:r w:rsidR="00F543B0" w:rsidRPr="00A02393">
        <w:rPr>
          <w:rFonts w:ascii="Times New Roman" w:hAnsi="Times New Roman"/>
          <w:bCs/>
          <w:iCs/>
        </w:rPr>
        <w:t>dla Ministra Finansów d</w:t>
      </w:r>
      <w:r w:rsidR="00F543B0">
        <w:rPr>
          <w:rFonts w:ascii="Times New Roman" w:hAnsi="Times New Roman"/>
          <w:bCs/>
          <w:iCs/>
        </w:rPr>
        <w:t xml:space="preserve">o </w:t>
      </w:r>
      <w:r w:rsidR="00F543B0" w:rsidRPr="00A02393">
        <w:rPr>
          <w:rFonts w:ascii="Times New Roman" w:hAnsi="Times New Roman"/>
          <w:bCs/>
          <w:iCs/>
        </w:rPr>
        <w:t>określenia w drodze rozporządzenia wykazu zadań budżetowych grupujących wydatki według celów, a także szczegółowego sposobu i terminów sporządzania przez dysponentów materiałów do informacji, o których mowa w art.</w:t>
      </w:r>
      <w:r w:rsidR="00710CA4">
        <w:rPr>
          <w:rFonts w:ascii="Times New Roman" w:hAnsi="Times New Roman"/>
          <w:bCs/>
          <w:iCs/>
        </w:rPr>
        <w:t xml:space="preserve"> </w:t>
      </w:r>
      <w:r w:rsidR="00F543B0" w:rsidRPr="00A02393">
        <w:rPr>
          <w:rFonts w:ascii="Times New Roman" w:hAnsi="Times New Roman"/>
          <w:bCs/>
          <w:iCs/>
        </w:rPr>
        <w:t>182 ust.</w:t>
      </w:r>
      <w:r w:rsidR="00841BB4">
        <w:rPr>
          <w:rFonts w:ascii="Times New Roman" w:hAnsi="Times New Roman"/>
          <w:bCs/>
          <w:iCs/>
        </w:rPr>
        <w:t xml:space="preserve"> </w:t>
      </w:r>
      <w:r w:rsidR="00F543B0" w:rsidRPr="00A02393">
        <w:rPr>
          <w:rFonts w:ascii="Times New Roman" w:hAnsi="Times New Roman"/>
          <w:bCs/>
          <w:iCs/>
        </w:rPr>
        <w:t>6</w:t>
      </w:r>
      <w:r w:rsidR="008F11D1">
        <w:rPr>
          <w:rFonts w:ascii="Times New Roman" w:hAnsi="Times New Roman"/>
          <w:bCs/>
          <w:iCs/>
        </w:rPr>
        <w:t>.</w:t>
      </w:r>
      <w:r>
        <w:rPr>
          <w:rFonts w:ascii="Times New Roman" w:hAnsi="Times New Roman"/>
          <w:bCs/>
          <w:iCs/>
        </w:rPr>
        <w:t xml:space="preserve"> </w:t>
      </w:r>
      <w:r w:rsidR="00710CA4" w:rsidRPr="00710CA4">
        <w:rPr>
          <w:rFonts w:ascii="Times New Roman" w:hAnsi="Times New Roman"/>
          <w:bCs/>
          <w:iCs/>
        </w:rPr>
        <w:t xml:space="preserve">Obecne rozwiązania systemowe </w:t>
      </w:r>
      <w:r>
        <w:rPr>
          <w:rFonts w:ascii="Times New Roman" w:hAnsi="Times New Roman"/>
          <w:bCs/>
          <w:iCs/>
        </w:rPr>
        <w:t xml:space="preserve">w zakresie </w:t>
      </w:r>
      <w:r w:rsidR="00710CA4" w:rsidRPr="00710CA4">
        <w:rPr>
          <w:rFonts w:ascii="Times New Roman" w:hAnsi="Times New Roman"/>
          <w:bCs/>
          <w:iCs/>
        </w:rPr>
        <w:t>układu zadaniowego dotyczące funkcjonowania i</w:t>
      </w:r>
      <w:r>
        <w:rPr>
          <w:rFonts w:ascii="Times New Roman" w:hAnsi="Times New Roman"/>
          <w:bCs/>
          <w:iCs/>
        </w:rPr>
        <w:t> </w:t>
      </w:r>
      <w:r w:rsidR="00710CA4" w:rsidRPr="00710CA4">
        <w:rPr>
          <w:rFonts w:ascii="Times New Roman" w:hAnsi="Times New Roman"/>
          <w:bCs/>
          <w:iCs/>
        </w:rPr>
        <w:t>zmian katalogu zadań budżetowych, powodują że nie ma potrzeby wykorzystania możliwości określania przez Ministra Finansów w drodze rozporządzenia wykazu zadań budżetowych grupujących wydatki według celów.</w:t>
      </w:r>
    </w:p>
    <w:p w14:paraId="2EDDEAA8" w14:textId="503569D9" w:rsidR="00F543B0" w:rsidRPr="008E5FB3" w:rsidRDefault="00F543B0" w:rsidP="00713591">
      <w:pPr>
        <w:spacing w:line="276" w:lineRule="auto"/>
        <w:jc w:val="both"/>
        <w:rPr>
          <w:rFonts w:ascii="Times New Roman" w:hAnsi="Times New Roman"/>
          <w:bCs/>
          <w:iCs/>
        </w:rPr>
      </w:pPr>
    </w:p>
    <w:p w14:paraId="2ABC3925" w14:textId="77777777" w:rsidR="00216961" w:rsidRPr="008E5FB3" w:rsidRDefault="00216961" w:rsidP="00713591">
      <w:pPr>
        <w:spacing w:line="276" w:lineRule="auto"/>
        <w:jc w:val="both"/>
        <w:rPr>
          <w:rFonts w:ascii="Times New Roman" w:hAnsi="Times New Roman"/>
        </w:rPr>
      </w:pPr>
    </w:p>
    <w:p w14:paraId="51777349" w14:textId="79B0B5E5" w:rsidR="006A393F" w:rsidRDefault="00CF129E" w:rsidP="00713591">
      <w:pPr>
        <w:spacing w:line="276" w:lineRule="auto"/>
        <w:jc w:val="both"/>
        <w:rPr>
          <w:rFonts w:ascii="Times New Roman" w:eastAsia="Times New Roman" w:hAnsi="Times New Roman"/>
          <w:b/>
          <w:u w:val="single"/>
          <w:lang w:eastAsia="pl-PL"/>
        </w:rPr>
      </w:pPr>
      <w:r w:rsidRPr="00CF129E">
        <w:t xml:space="preserve"> </w:t>
      </w:r>
      <w:r w:rsidRPr="00CF129E">
        <w:rPr>
          <w:rFonts w:ascii="Times New Roman" w:eastAsia="Times New Roman" w:hAnsi="Times New Roman"/>
          <w:b/>
          <w:u w:val="single"/>
          <w:lang w:eastAsia="pl-PL"/>
        </w:rPr>
        <w:t>Zmiana przepisów dot</w:t>
      </w:r>
      <w:r w:rsidR="001632B4">
        <w:rPr>
          <w:rFonts w:ascii="Times New Roman" w:eastAsia="Times New Roman" w:hAnsi="Times New Roman"/>
          <w:b/>
          <w:u w:val="single"/>
          <w:lang w:eastAsia="pl-PL"/>
        </w:rPr>
        <w:t>yczących</w:t>
      </w:r>
      <w:r w:rsidRPr="00CF129E">
        <w:rPr>
          <w:rFonts w:ascii="Times New Roman" w:eastAsia="Times New Roman" w:hAnsi="Times New Roman"/>
          <w:b/>
          <w:u w:val="single"/>
          <w:lang w:eastAsia="pl-PL"/>
        </w:rPr>
        <w:t xml:space="preserve"> państwowego długu publicznego, w szczególności zarządzania długiem Skarbu Państwa</w:t>
      </w:r>
    </w:p>
    <w:p w14:paraId="60FE9896" w14:textId="77777777" w:rsidR="00DA5A17" w:rsidRDefault="00DA5A17" w:rsidP="00713591">
      <w:pPr>
        <w:spacing w:line="276" w:lineRule="auto"/>
        <w:jc w:val="both"/>
        <w:rPr>
          <w:rFonts w:ascii="Times New Roman" w:hAnsi="Times New Roman"/>
          <w:b/>
        </w:rPr>
      </w:pPr>
    </w:p>
    <w:p w14:paraId="286A7258" w14:textId="55A7394C" w:rsidR="00CB4517" w:rsidRPr="008E5FB3" w:rsidRDefault="00CB4517" w:rsidP="00713591">
      <w:pPr>
        <w:spacing w:line="276" w:lineRule="auto"/>
        <w:jc w:val="both"/>
        <w:rPr>
          <w:rFonts w:ascii="Times New Roman" w:hAnsi="Times New Roman"/>
          <w:b/>
          <w:i/>
        </w:rPr>
      </w:pPr>
      <w:r w:rsidRPr="008E5FB3">
        <w:rPr>
          <w:rFonts w:ascii="Times New Roman" w:hAnsi="Times New Roman"/>
          <w:b/>
          <w:i/>
        </w:rPr>
        <w:t>zmiana w art. 5 ust. 1a oraz art. 83a</w:t>
      </w:r>
      <w:r w:rsidRPr="008E5FB3">
        <w:rPr>
          <w:rFonts w:ascii="Times New Roman" w:hAnsi="Times New Roman"/>
        </w:rPr>
        <w:t xml:space="preserve"> </w:t>
      </w:r>
    </w:p>
    <w:p w14:paraId="16B16FB1" w14:textId="77777777" w:rsidR="00CB4517" w:rsidRPr="008E5FB3" w:rsidRDefault="00CB4517" w:rsidP="00713591">
      <w:pPr>
        <w:spacing w:line="276" w:lineRule="auto"/>
        <w:jc w:val="both"/>
        <w:rPr>
          <w:rFonts w:ascii="Times New Roman" w:hAnsi="Times New Roman"/>
        </w:rPr>
      </w:pPr>
    </w:p>
    <w:p w14:paraId="301684FC" w14:textId="0E8BF49D" w:rsidR="00CB4517" w:rsidRPr="008E5FB3" w:rsidRDefault="00CB4517" w:rsidP="00713591">
      <w:pPr>
        <w:spacing w:line="276" w:lineRule="auto"/>
        <w:jc w:val="both"/>
        <w:rPr>
          <w:rFonts w:ascii="Times New Roman" w:hAnsi="Times New Roman"/>
        </w:rPr>
      </w:pPr>
      <w:r w:rsidRPr="008E5FB3">
        <w:rPr>
          <w:rFonts w:ascii="Times New Roman" w:hAnsi="Times New Roman"/>
        </w:rPr>
        <w:t xml:space="preserve">Zmiana w art. 83a dotyczy dwóch kwestii: zmiany terminologii „rachunek depozytowy Ministra Finansów” na „rachunek depozytowy Skarbu Państwa” </w:t>
      </w:r>
      <w:r w:rsidR="00713591">
        <w:rPr>
          <w:rFonts w:ascii="Times New Roman" w:hAnsi="Times New Roman"/>
        </w:rPr>
        <w:t>i</w:t>
      </w:r>
      <w:r w:rsidR="00713591" w:rsidRPr="008E5FB3">
        <w:rPr>
          <w:rFonts w:ascii="Times New Roman" w:hAnsi="Times New Roman"/>
        </w:rPr>
        <w:t xml:space="preserve"> wprowadzeni</w:t>
      </w:r>
      <w:r w:rsidR="00713591">
        <w:rPr>
          <w:rFonts w:ascii="Times New Roman" w:hAnsi="Times New Roman"/>
        </w:rPr>
        <w:t>a</w:t>
      </w:r>
      <w:r w:rsidR="00713591" w:rsidRPr="008E5FB3">
        <w:rPr>
          <w:rFonts w:ascii="Times New Roman" w:hAnsi="Times New Roman"/>
        </w:rPr>
        <w:t xml:space="preserve"> </w:t>
      </w:r>
      <w:r w:rsidRPr="008E5FB3">
        <w:rPr>
          <w:rFonts w:ascii="Times New Roman" w:hAnsi="Times New Roman"/>
        </w:rPr>
        <w:t xml:space="preserve">możliwości pobierania odsetek z tytułu ujemnego oprocentowania. </w:t>
      </w:r>
    </w:p>
    <w:p w14:paraId="6AF88D6A" w14:textId="77777777" w:rsidR="00CB4517" w:rsidRPr="008E5FB3" w:rsidRDefault="00CB4517" w:rsidP="00713591">
      <w:pPr>
        <w:spacing w:line="276" w:lineRule="auto"/>
        <w:jc w:val="both"/>
        <w:rPr>
          <w:rFonts w:ascii="Times New Roman" w:hAnsi="Times New Roman"/>
        </w:rPr>
      </w:pPr>
      <w:r w:rsidRPr="008E5FB3">
        <w:rPr>
          <w:rFonts w:ascii="Times New Roman" w:hAnsi="Times New Roman"/>
        </w:rPr>
        <w:t>Dla interesariuszy nazwa rachunku depozytowego powoduje wiele nieporozumień. W konsekwencji interesariusze kierują swoje zapytania w zakresie środków złożonych do depozytów sądowych do Ministra Finansów zamiast do ich dysponentów – dyrektorów sądów.</w:t>
      </w:r>
    </w:p>
    <w:p w14:paraId="5C55FB7D" w14:textId="00FC5648" w:rsidR="00CB4517" w:rsidRPr="008E5FB3" w:rsidRDefault="00CB4517" w:rsidP="00713591">
      <w:pPr>
        <w:spacing w:line="276" w:lineRule="auto"/>
        <w:jc w:val="both"/>
        <w:rPr>
          <w:rFonts w:ascii="Times New Roman" w:hAnsi="Times New Roman"/>
        </w:rPr>
      </w:pPr>
      <w:r w:rsidRPr="008E5FB3">
        <w:rPr>
          <w:rFonts w:ascii="Times New Roman" w:hAnsi="Times New Roman"/>
        </w:rPr>
        <w:t xml:space="preserve">Instytucja rachunków depozytowych Ministra Finansów została wprowadzona ustawą z dnia 26 września 2014 r. </w:t>
      </w:r>
      <w:r w:rsidRPr="00FB28B4">
        <w:rPr>
          <w:rFonts w:ascii="Times New Roman" w:hAnsi="Times New Roman"/>
          <w:i/>
        </w:rPr>
        <w:t>o zmianie ustawy o finansach publicznych oraz niektórych innych ustaw</w:t>
      </w:r>
      <w:r w:rsidRPr="008E5FB3">
        <w:rPr>
          <w:rFonts w:ascii="Times New Roman" w:hAnsi="Times New Roman"/>
        </w:rPr>
        <w:t xml:space="preserve"> (Dz. U. poz. 1626). Założeniem wprowadzenia rachunków depozytowych Ministra Finansów było wykorzystanie w zarządzaniu płynnością budżetu państwa środków pieniężnych składanych dotychczas do depozytu sądowego lub na rachunki depozytowe sądu (depozyty sądowe), co przyczynia się do zmniejszenia potrzeb pożyczkowych Skarbu Państwa, a przez to obniżenia poziomu długu publicznego i minimalizowania kosztów jego obsługi. Dodatkowo, zaproponowana zmiana nazwy rachunków uniezależnia nazwę rachunków depozytowych od nazwy organu prowadzącego takie rachunki. Zmiana ta wymaga również zmiany innych ustaw, jak i art. 5 ust. 1a.</w:t>
      </w:r>
    </w:p>
    <w:p w14:paraId="699DDE79" w14:textId="7839540F" w:rsidR="00CB4517" w:rsidRPr="008E5FB3" w:rsidRDefault="00CB4517" w:rsidP="00713591">
      <w:pPr>
        <w:spacing w:line="276" w:lineRule="auto"/>
        <w:jc w:val="both"/>
        <w:rPr>
          <w:rFonts w:ascii="Times New Roman" w:hAnsi="Times New Roman"/>
        </w:rPr>
      </w:pPr>
      <w:r w:rsidRPr="008E5FB3">
        <w:rPr>
          <w:rFonts w:ascii="Times New Roman" w:hAnsi="Times New Roman"/>
        </w:rPr>
        <w:lastRenderedPageBreak/>
        <w:t>Środki złożone na rachunkach depozytowych Skarbu Państwa są oprocentowane w wysokości stopy depozytowej Narodowego Banku Polskiego</w:t>
      </w:r>
      <w:r w:rsidR="00EE01DA">
        <w:rPr>
          <w:rFonts w:ascii="Times New Roman" w:hAnsi="Times New Roman"/>
        </w:rPr>
        <w:t xml:space="preserve"> (NBP)</w:t>
      </w:r>
      <w:r w:rsidRPr="008E5FB3">
        <w:rPr>
          <w:rFonts w:ascii="Times New Roman" w:hAnsi="Times New Roman"/>
        </w:rPr>
        <w:t xml:space="preserve"> – w przypadku środków zgromadzonych w złotych, natomiast w przypadku środków zgromadzonych w walutach obcych, w wysokości  oprocentowania udzielanego dla wkładów wypłacanych w danej walucie na każde żądanie przez Bank Gospodarstwa Krajowego. Zatem, w przypadku gdy wysokość oprocentowania – stopy depozytowej NBP lub oprocentowania udzielanego dla wkładów wypłacanych w danej walucie na każde żądanie przez Bank Gospodarstwa Krajowego byłoby ujemne, albo Bank Gospodarstwa Krajowego wprowadził opłaty z tytułu przechowania, Minister Finansów mógłby pobierać z tytułu przechowywania przyjętych środków pieniężnych odsetki od złożonych środków na rachunkach depozytowych Skarbu Państwa w wysokości oprocentowania równej tej stopie procentowej lub opłacie za przechowanie. Jedna</w:t>
      </w:r>
      <w:r w:rsidR="00D12A3C">
        <w:rPr>
          <w:rFonts w:ascii="Times New Roman" w:hAnsi="Times New Roman"/>
        </w:rPr>
        <w:t>kże w </w:t>
      </w:r>
      <w:r w:rsidRPr="008E5FB3">
        <w:rPr>
          <w:rFonts w:ascii="Times New Roman" w:hAnsi="Times New Roman"/>
        </w:rPr>
        <w:t>przypadku środków w walutach obcych, oprocentowanie dla tych środków mogłoby być ujemne w wysokości oprocentowania wkładów wypłacanych w danej walucie na każde żądanie przez Bank Gospodarstwa Krajowego bądź opłaty za przechowanie, jednak w wysokości nie wyższej niż obowiązującej dla tego rodzaju wkładów w Narodowym Banku Polskim.</w:t>
      </w:r>
    </w:p>
    <w:p w14:paraId="686CAFA8" w14:textId="77777777" w:rsidR="00CB4517" w:rsidRPr="001632B4" w:rsidRDefault="00CB4517" w:rsidP="00713591">
      <w:pPr>
        <w:spacing w:line="276" w:lineRule="auto"/>
        <w:jc w:val="both"/>
        <w:rPr>
          <w:rFonts w:ascii="Times New Roman" w:hAnsi="Times New Roman"/>
        </w:rPr>
      </w:pPr>
    </w:p>
    <w:p w14:paraId="329A8079" w14:textId="6B86BCC1" w:rsidR="001632B4" w:rsidRPr="002C33F7" w:rsidRDefault="00CB4517" w:rsidP="00713591">
      <w:pPr>
        <w:spacing w:line="276" w:lineRule="auto"/>
        <w:jc w:val="both"/>
        <w:rPr>
          <w:rFonts w:ascii="Times New Roman" w:hAnsi="Times New Roman"/>
        </w:rPr>
      </w:pPr>
      <w:r w:rsidRPr="001632B4">
        <w:rPr>
          <w:rFonts w:ascii="Times New Roman" w:hAnsi="Times New Roman"/>
        </w:rPr>
        <w:t xml:space="preserve">Ponadto należy dodać, iż projektowany art. 83a </w:t>
      </w:r>
      <w:r w:rsidR="001632B4" w:rsidRPr="001632B4">
        <w:rPr>
          <w:rFonts w:ascii="Times New Roman" w:hAnsi="Times New Roman"/>
        </w:rPr>
        <w:t xml:space="preserve">uległ </w:t>
      </w:r>
      <w:r w:rsidRPr="001632B4">
        <w:rPr>
          <w:rFonts w:ascii="Times New Roman" w:hAnsi="Times New Roman"/>
        </w:rPr>
        <w:t>zmianie</w:t>
      </w:r>
      <w:r w:rsidR="001632B4" w:rsidRPr="001632B4">
        <w:rPr>
          <w:rFonts w:ascii="Times New Roman" w:hAnsi="Times New Roman"/>
        </w:rPr>
        <w:t xml:space="preserve"> w związku z wejściem w życie ustawy z dnia 20 maja 2021 r. </w:t>
      </w:r>
      <w:r w:rsidR="001632B4" w:rsidRPr="00FB28B4">
        <w:rPr>
          <w:rFonts w:ascii="Times New Roman" w:hAnsi="Times New Roman"/>
          <w:i/>
        </w:rPr>
        <w:t>o zmianie ustawy – Prawo o prokuraturze, ustawy o finansach publicznych oraz niektórych innych ustaw</w:t>
      </w:r>
      <w:r w:rsidR="001632B4" w:rsidRPr="001632B4">
        <w:rPr>
          <w:rFonts w:ascii="Times New Roman" w:hAnsi="Times New Roman"/>
        </w:rPr>
        <w:t xml:space="preserve"> (Dz. U. </w:t>
      </w:r>
      <w:r w:rsidR="00225EF3">
        <w:rPr>
          <w:rFonts w:ascii="Times New Roman" w:hAnsi="Times New Roman"/>
        </w:rPr>
        <w:t xml:space="preserve">z </w:t>
      </w:r>
      <w:r w:rsidR="001632B4" w:rsidRPr="001632B4">
        <w:rPr>
          <w:rFonts w:ascii="Times New Roman" w:hAnsi="Times New Roman"/>
        </w:rPr>
        <w:t>2021</w:t>
      </w:r>
      <w:r w:rsidR="00225EF3">
        <w:rPr>
          <w:rFonts w:ascii="Times New Roman" w:hAnsi="Times New Roman"/>
        </w:rPr>
        <w:t xml:space="preserve"> r.</w:t>
      </w:r>
      <w:r w:rsidR="001632B4" w:rsidRPr="001632B4">
        <w:rPr>
          <w:rFonts w:ascii="Times New Roman" w:hAnsi="Times New Roman"/>
        </w:rPr>
        <w:t xml:space="preserve"> poz. 1236)</w:t>
      </w:r>
      <w:r w:rsidR="002C33F7">
        <w:rPr>
          <w:rFonts w:ascii="Times New Roman" w:hAnsi="Times New Roman"/>
        </w:rPr>
        <w:t>.</w:t>
      </w:r>
    </w:p>
    <w:p w14:paraId="3E3F4F90" w14:textId="77777777" w:rsidR="006975F4" w:rsidRPr="008E5FB3" w:rsidRDefault="006975F4" w:rsidP="00713591">
      <w:pPr>
        <w:spacing w:line="276" w:lineRule="auto"/>
        <w:jc w:val="both"/>
        <w:rPr>
          <w:rFonts w:ascii="Times New Roman" w:hAnsi="Times New Roman"/>
        </w:rPr>
      </w:pPr>
    </w:p>
    <w:p w14:paraId="7FDAD9BB" w14:textId="0945FB80" w:rsidR="00216961" w:rsidRPr="008E5FB3" w:rsidRDefault="00216961" w:rsidP="00713591">
      <w:pPr>
        <w:spacing w:line="276" w:lineRule="auto"/>
        <w:jc w:val="both"/>
        <w:rPr>
          <w:rFonts w:ascii="Times New Roman" w:hAnsi="Times New Roman"/>
          <w:b/>
          <w:i/>
        </w:rPr>
      </w:pPr>
      <w:r w:rsidRPr="008E5FB3">
        <w:rPr>
          <w:rFonts w:ascii="Times New Roman" w:hAnsi="Times New Roman"/>
          <w:b/>
          <w:i/>
        </w:rPr>
        <w:t>zmiana w art. 72</w:t>
      </w:r>
      <w:r w:rsidR="004D38D5">
        <w:rPr>
          <w:rFonts w:ascii="Times New Roman" w:hAnsi="Times New Roman"/>
          <w:b/>
          <w:i/>
        </w:rPr>
        <w:t xml:space="preserve"> ust 1 pkt 1 i ust. 1a</w:t>
      </w:r>
    </w:p>
    <w:p w14:paraId="09DFDBE4" w14:textId="77777777" w:rsidR="00216961" w:rsidRPr="008E5FB3" w:rsidRDefault="00216961" w:rsidP="00713591">
      <w:pPr>
        <w:spacing w:line="276" w:lineRule="auto"/>
        <w:jc w:val="both"/>
        <w:rPr>
          <w:rFonts w:ascii="Times New Roman" w:hAnsi="Times New Roman"/>
          <w:b/>
          <w:i/>
        </w:rPr>
      </w:pPr>
    </w:p>
    <w:p w14:paraId="6C035E2A" w14:textId="5E6E30E6" w:rsidR="00216961" w:rsidRPr="008E5FB3" w:rsidRDefault="00216961" w:rsidP="00713591">
      <w:pPr>
        <w:spacing w:line="276" w:lineRule="auto"/>
        <w:jc w:val="both"/>
        <w:rPr>
          <w:rFonts w:ascii="Times New Roman" w:hAnsi="Times New Roman"/>
        </w:rPr>
      </w:pPr>
      <w:r w:rsidRPr="008E5FB3">
        <w:rPr>
          <w:rFonts w:ascii="Times New Roman" w:hAnsi="Times New Roman"/>
        </w:rPr>
        <w:t>Projektowana zmiana dotyczy art. 72 ust. 1 i 1a. Zgodnie z</w:t>
      </w:r>
      <w:r w:rsidR="00713591">
        <w:rPr>
          <w:rFonts w:ascii="Times New Roman" w:hAnsi="Times New Roman"/>
        </w:rPr>
        <w:t xml:space="preserve"> tym</w:t>
      </w:r>
      <w:r w:rsidRPr="008E5FB3">
        <w:rPr>
          <w:rFonts w:ascii="Times New Roman" w:hAnsi="Times New Roman"/>
        </w:rPr>
        <w:t xml:space="preserve"> przepisem do państwowego długu publicznego zaliczane są zobowiązania, ale tylko z tytułów dłużnych określonych w pkt 1-4. Zgodnie z art. 72 ust. 1 pkt 1 jednym z takich tytułów dłużnych są papiery wartościowe określone jako papiery wartościowe opiewające na wierzytelności pieniężne. Powyższy termin bazował na terminologii przyjętej rozporządzeniem Rady (WE) nr 2223/96 z dnia 25 czerwca 1996 r. </w:t>
      </w:r>
      <w:r w:rsidRPr="00FB28B4">
        <w:rPr>
          <w:rFonts w:ascii="Times New Roman" w:hAnsi="Times New Roman"/>
          <w:i/>
        </w:rPr>
        <w:t>w sprawie europejskiego</w:t>
      </w:r>
      <w:r w:rsidR="00D12A3C" w:rsidRPr="00FB28B4">
        <w:rPr>
          <w:rFonts w:ascii="Times New Roman" w:hAnsi="Times New Roman"/>
          <w:i/>
        </w:rPr>
        <w:t xml:space="preserve"> systemu rachunków narodowych i </w:t>
      </w:r>
      <w:r w:rsidRPr="00FB28B4">
        <w:rPr>
          <w:rFonts w:ascii="Times New Roman" w:hAnsi="Times New Roman"/>
          <w:i/>
        </w:rPr>
        <w:t>regionalnych we Wspólnocie</w:t>
      </w:r>
      <w:r w:rsidRPr="008E5FB3">
        <w:rPr>
          <w:rFonts w:ascii="Times New Roman" w:hAnsi="Times New Roman"/>
        </w:rPr>
        <w:t xml:space="preserve">  (Dz. Urz. L 310 z 30.11.1996, s. 1.). Obecnie w przedmiotowej materii obowiązuje rozporządzenie Parlamentu Europejskiego i Rady (UE) nr 549/2013 z dnia 21 maja 2013 r. </w:t>
      </w:r>
      <w:r w:rsidRPr="00FB28B4">
        <w:rPr>
          <w:rFonts w:ascii="Times New Roman" w:hAnsi="Times New Roman"/>
          <w:i/>
        </w:rPr>
        <w:t>w</w:t>
      </w:r>
      <w:r w:rsidR="002C33F7" w:rsidRPr="00FB28B4">
        <w:rPr>
          <w:rFonts w:ascii="Times New Roman" w:hAnsi="Times New Roman"/>
          <w:i/>
        </w:rPr>
        <w:t> </w:t>
      </w:r>
      <w:r w:rsidRPr="00FB28B4">
        <w:rPr>
          <w:rFonts w:ascii="Times New Roman" w:hAnsi="Times New Roman"/>
          <w:i/>
        </w:rPr>
        <w:t>sprawie europejskiego systemu rachunków narodowych i regionalnyc</w:t>
      </w:r>
      <w:r w:rsidR="00D12A3C" w:rsidRPr="00FB28B4">
        <w:rPr>
          <w:rFonts w:ascii="Times New Roman" w:hAnsi="Times New Roman"/>
          <w:i/>
        </w:rPr>
        <w:t>h w </w:t>
      </w:r>
      <w:r w:rsidRPr="00FB28B4">
        <w:rPr>
          <w:rFonts w:ascii="Times New Roman" w:hAnsi="Times New Roman"/>
          <w:i/>
        </w:rPr>
        <w:t>Unii Europejskiej</w:t>
      </w:r>
      <w:r w:rsidRPr="008E5FB3">
        <w:rPr>
          <w:rFonts w:ascii="Times New Roman" w:hAnsi="Times New Roman"/>
        </w:rPr>
        <w:t xml:space="preserve"> (Dz. Urz. UE L 174 z 26.06.2013, str. 1, z </w:t>
      </w:r>
      <w:proofErr w:type="spellStart"/>
      <w:r w:rsidRPr="008E5FB3">
        <w:rPr>
          <w:rFonts w:ascii="Times New Roman" w:hAnsi="Times New Roman"/>
        </w:rPr>
        <w:t>późn</w:t>
      </w:r>
      <w:proofErr w:type="spellEnd"/>
      <w:r w:rsidRPr="008E5FB3">
        <w:rPr>
          <w:rFonts w:ascii="Times New Roman" w:hAnsi="Times New Roman"/>
        </w:rPr>
        <w:t>. zm.), które posługuje się dla wyżej wskazanego tytułu dłużnego pojęciem „dłużne papiery wartościowe”. Ten termin lepiej oddaje istotę tego tytułu. W związku z powyższym zasadne jest dostosowanie terminologii do  funkcjonującej obecnie w prawie unijnym. Natomiast zmiana w art. 72 w ust. 1a wynika wyłącznie ze zmiany nazwy tytułu dłużnego w ust. 1 pkt 1.</w:t>
      </w:r>
    </w:p>
    <w:p w14:paraId="58407521" w14:textId="77777777" w:rsidR="00216961" w:rsidRPr="008E5FB3" w:rsidRDefault="00216961" w:rsidP="00713591">
      <w:pPr>
        <w:spacing w:line="276" w:lineRule="auto"/>
        <w:jc w:val="both"/>
        <w:rPr>
          <w:rFonts w:ascii="Times New Roman" w:hAnsi="Times New Roman"/>
          <w:b/>
          <w:i/>
        </w:rPr>
      </w:pPr>
    </w:p>
    <w:p w14:paraId="3BDA6734" w14:textId="49BDF784" w:rsidR="00216961" w:rsidRPr="008E5FB3" w:rsidRDefault="00216961" w:rsidP="00713591">
      <w:pPr>
        <w:spacing w:line="276" w:lineRule="auto"/>
        <w:jc w:val="both"/>
        <w:rPr>
          <w:rFonts w:ascii="Times New Roman" w:hAnsi="Times New Roman"/>
          <w:b/>
          <w:i/>
        </w:rPr>
      </w:pPr>
      <w:r w:rsidRPr="008E5FB3">
        <w:rPr>
          <w:rFonts w:ascii="Times New Roman" w:hAnsi="Times New Roman"/>
          <w:b/>
          <w:i/>
        </w:rPr>
        <w:t>zmiana w art. 73</w:t>
      </w:r>
    </w:p>
    <w:p w14:paraId="44B6052A" w14:textId="77777777" w:rsidR="00216961" w:rsidRPr="008E5FB3" w:rsidRDefault="00216961" w:rsidP="00713591">
      <w:pPr>
        <w:spacing w:line="276" w:lineRule="auto"/>
        <w:jc w:val="both"/>
        <w:rPr>
          <w:rFonts w:ascii="Times New Roman" w:hAnsi="Times New Roman"/>
        </w:rPr>
      </w:pPr>
    </w:p>
    <w:p w14:paraId="15F0FCD8" w14:textId="77777777" w:rsidR="00216961" w:rsidRPr="008E5FB3" w:rsidRDefault="00216961" w:rsidP="00713591">
      <w:pPr>
        <w:spacing w:line="276" w:lineRule="auto"/>
        <w:jc w:val="both"/>
        <w:rPr>
          <w:rFonts w:ascii="Times New Roman" w:hAnsi="Times New Roman"/>
        </w:rPr>
      </w:pPr>
      <w:r w:rsidRPr="008E5FB3">
        <w:rPr>
          <w:rFonts w:ascii="Times New Roman" w:hAnsi="Times New Roman"/>
        </w:rPr>
        <w:t xml:space="preserve">Projektowana zmiana polega na rezygnacji ze szczegółowego uregulowania sposobu obliczania wartości zobowiązań zaliczanych do państwowego długu publicznego w rozporządzeniu. Obliczanie wartości nominalnej będzie uregulowane wyłącznie w ustawie ze względu na fakt, że rozporządzenie w istocie powtarza materię ustawową. Dodatkowo uregulowana zostanie kwestia transakcji w walutach obcych. Projektowany przepis wprowadza zmianę w zakresie </w:t>
      </w:r>
      <w:r w:rsidRPr="008E5FB3">
        <w:rPr>
          <w:rFonts w:ascii="Times New Roman" w:hAnsi="Times New Roman"/>
        </w:rPr>
        <w:lastRenderedPageBreak/>
        <w:t>obliczania wartości zobowiązań finansowych wynikających z transakcji wymiany walut, dostosowując to działanie do sensu ekonomicznego oraz do metodologii unijnej. Jeżeli zobowiązanie wyrażone w walucie obcej jest wymieniane na mocy umów na inne waluty obce, będzie ono przeliczone na inne waluty obce po kursie uzgodnionym w umowie, a następnie przeliczane na walutę krajową zgodnie z ogólną zasadą. Ta sama reguła będzie obowiązywać w przypadku długu w walucie krajowej zamienionego na walutę obcą.</w:t>
      </w:r>
    </w:p>
    <w:p w14:paraId="5920A31D" w14:textId="22C56EB7" w:rsidR="00216961" w:rsidRPr="008E5FB3" w:rsidRDefault="00216961" w:rsidP="00713591">
      <w:pPr>
        <w:spacing w:line="276" w:lineRule="auto"/>
        <w:jc w:val="both"/>
        <w:rPr>
          <w:rFonts w:ascii="Times New Roman" w:hAnsi="Times New Roman"/>
        </w:rPr>
      </w:pPr>
      <w:r w:rsidRPr="008E5FB3">
        <w:rPr>
          <w:rFonts w:ascii="Times New Roman" w:hAnsi="Times New Roman"/>
        </w:rPr>
        <w:t>Z przedmiotowego artykułu usunięto sposób obliczania wymagalnych i niewymagalnych gwarancji i poręczeń. Szczegółowe zasady obliczania gwarancji i p</w:t>
      </w:r>
      <w:r w:rsidR="00D12A3C">
        <w:rPr>
          <w:rFonts w:ascii="Times New Roman" w:hAnsi="Times New Roman"/>
        </w:rPr>
        <w:t>oręczeń zostaną zawarte w </w:t>
      </w:r>
      <w:r w:rsidRPr="008E5FB3">
        <w:rPr>
          <w:rFonts w:ascii="Times New Roman" w:hAnsi="Times New Roman"/>
        </w:rPr>
        <w:t>rozporządzeniu wydawanym na podstawie art. 73a ust. 2.</w:t>
      </w:r>
    </w:p>
    <w:p w14:paraId="541E75A9" w14:textId="77777777" w:rsidR="00216961" w:rsidRPr="008E5FB3" w:rsidRDefault="00216961" w:rsidP="00713591">
      <w:pPr>
        <w:spacing w:line="276" w:lineRule="auto"/>
        <w:jc w:val="both"/>
        <w:rPr>
          <w:rFonts w:ascii="Times New Roman" w:hAnsi="Times New Roman"/>
          <w:b/>
          <w:i/>
        </w:rPr>
      </w:pPr>
    </w:p>
    <w:p w14:paraId="2F94C457" w14:textId="24D71224" w:rsidR="00216961" w:rsidRPr="008E5FB3" w:rsidRDefault="00C00866" w:rsidP="00713591">
      <w:pPr>
        <w:spacing w:line="276" w:lineRule="auto"/>
        <w:jc w:val="both"/>
        <w:rPr>
          <w:rFonts w:ascii="Times New Roman" w:hAnsi="Times New Roman"/>
          <w:b/>
          <w:i/>
        </w:rPr>
      </w:pPr>
      <w:r>
        <w:rPr>
          <w:rFonts w:ascii="Times New Roman" w:hAnsi="Times New Roman"/>
          <w:b/>
          <w:i/>
        </w:rPr>
        <w:t>zmiany w art. 36</w:t>
      </w:r>
      <w:r w:rsidR="004D38D5">
        <w:rPr>
          <w:rFonts w:ascii="Times New Roman" w:hAnsi="Times New Roman"/>
          <w:b/>
          <w:i/>
        </w:rPr>
        <w:t xml:space="preserve"> ust. 2</w:t>
      </w:r>
      <w:r>
        <w:rPr>
          <w:rFonts w:ascii="Times New Roman" w:hAnsi="Times New Roman"/>
          <w:b/>
          <w:i/>
        </w:rPr>
        <w:t>, art. 37</w:t>
      </w:r>
      <w:r w:rsidR="004D38D5">
        <w:rPr>
          <w:rFonts w:ascii="Times New Roman" w:hAnsi="Times New Roman"/>
          <w:b/>
          <w:i/>
        </w:rPr>
        <w:t xml:space="preserve"> ust. 1 pkt 2</w:t>
      </w:r>
      <w:r>
        <w:rPr>
          <w:rFonts w:ascii="Times New Roman" w:hAnsi="Times New Roman"/>
          <w:b/>
          <w:i/>
        </w:rPr>
        <w:t>,</w:t>
      </w:r>
      <w:r w:rsidR="002D3197">
        <w:rPr>
          <w:rFonts w:ascii="Times New Roman" w:hAnsi="Times New Roman"/>
          <w:b/>
          <w:i/>
        </w:rPr>
        <w:t xml:space="preserve"> art. 41,</w:t>
      </w:r>
      <w:r>
        <w:rPr>
          <w:rFonts w:ascii="Times New Roman" w:hAnsi="Times New Roman"/>
          <w:b/>
          <w:i/>
        </w:rPr>
        <w:t xml:space="preserve"> art. 86</w:t>
      </w:r>
      <w:r w:rsidR="001621E8">
        <w:rPr>
          <w:rFonts w:ascii="Times New Roman" w:hAnsi="Times New Roman"/>
          <w:b/>
          <w:i/>
        </w:rPr>
        <w:t xml:space="preserve"> ust. 1 i 3</w:t>
      </w:r>
      <w:r w:rsidR="00797A46">
        <w:rPr>
          <w:rFonts w:ascii="Times New Roman" w:hAnsi="Times New Roman"/>
          <w:b/>
          <w:i/>
        </w:rPr>
        <w:t xml:space="preserve">, </w:t>
      </w:r>
      <w:r>
        <w:rPr>
          <w:rFonts w:ascii="Times New Roman" w:hAnsi="Times New Roman"/>
          <w:b/>
          <w:i/>
        </w:rPr>
        <w:t>art. 87</w:t>
      </w:r>
      <w:r w:rsidR="00797A46">
        <w:rPr>
          <w:rFonts w:ascii="Times New Roman" w:hAnsi="Times New Roman"/>
          <w:b/>
          <w:i/>
        </w:rPr>
        <w:t xml:space="preserve"> i art. 182</w:t>
      </w:r>
      <w:r w:rsidR="00080647">
        <w:rPr>
          <w:rFonts w:ascii="Times New Roman" w:hAnsi="Times New Roman"/>
          <w:b/>
          <w:i/>
        </w:rPr>
        <w:t xml:space="preserve"> ust. 7 pkt 2</w:t>
      </w:r>
      <w:r w:rsidR="001621E8">
        <w:rPr>
          <w:rFonts w:ascii="Times New Roman" w:hAnsi="Times New Roman"/>
          <w:b/>
          <w:i/>
        </w:rPr>
        <w:t xml:space="preserve"> i ust. 7 pkt 2</w:t>
      </w:r>
      <w:r>
        <w:rPr>
          <w:rFonts w:ascii="Times New Roman" w:hAnsi="Times New Roman"/>
          <w:b/>
          <w:i/>
        </w:rPr>
        <w:t xml:space="preserve">, </w:t>
      </w:r>
      <w:r w:rsidR="00216961" w:rsidRPr="008E5FB3">
        <w:rPr>
          <w:rFonts w:ascii="Times New Roman" w:hAnsi="Times New Roman"/>
          <w:b/>
          <w:i/>
        </w:rPr>
        <w:t>uchylenie art. 38 i 38a oraz dodanie art. 73a</w:t>
      </w:r>
    </w:p>
    <w:p w14:paraId="793CFF50" w14:textId="77777777" w:rsidR="00216961" w:rsidRPr="008E5FB3" w:rsidRDefault="00216961" w:rsidP="00713591">
      <w:pPr>
        <w:spacing w:line="276" w:lineRule="auto"/>
        <w:jc w:val="both"/>
        <w:rPr>
          <w:rFonts w:ascii="Times New Roman" w:hAnsi="Times New Roman"/>
        </w:rPr>
      </w:pPr>
    </w:p>
    <w:p w14:paraId="341BABBB" w14:textId="04F07850" w:rsidR="00216961" w:rsidRDefault="00216961" w:rsidP="00713591">
      <w:pPr>
        <w:spacing w:line="276" w:lineRule="auto"/>
        <w:jc w:val="both"/>
        <w:rPr>
          <w:rFonts w:ascii="Times New Roman" w:hAnsi="Times New Roman"/>
        </w:rPr>
      </w:pPr>
      <w:r w:rsidRPr="008E5FB3">
        <w:rPr>
          <w:rFonts w:ascii="Times New Roman" w:hAnsi="Times New Roman"/>
        </w:rPr>
        <w:t xml:space="preserve">Dodanie art. 73a polega na przeniesieniu treści art. 38 o ogłaszaniu relacji PKB do państwowego długu publicznego oraz relacji korygującej z art. 38a do działu II </w:t>
      </w:r>
      <w:r w:rsidR="00D97C25">
        <w:rPr>
          <w:rFonts w:ascii="Times New Roman" w:hAnsi="Times New Roman"/>
        </w:rPr>
        <w:t xml:space="preserve">– </w:t>
      </w:r>
      <w:r w:rsidRPr="008E5FB3">
        <w:rPr>
          <w:rFonts w:ascii="Times New Roman" w:hAnsi="Times New Roman"/>
        </w:rPr>
        <w:t>Państwowy dług publiczny i ich połączenie w jeden artykuł</w:t>
      </w:r>
      <w:r w:rsidR="00DD4998" w:rsidRPr="00DD4998">
        <w:rPr>
          <w:rFonts w:ascii="Times New Roman" w:hAnsi="Times New Roman"/>
        </w:rPr>
        <w:t>. Ponadto, wskazane wyżej dane dotyczące długu publicznego oraz relacji będą ogłaszane w formie  komunikatu Ministra Finan</w:t>
      </w:r>
      <w:r w:rsidR="00DD4998">
        <w:rPr>
          <w:rFonts w:ascii="Times New Roman" w:hAnsi="Times New Roman"/>
        </w:rPr>
        <w:t>sów a nie jak dotychczas – w formie</w:t>
      </w:r>
      <w:r w:rsidRPr="008E5FB3">
        <w:rPr>
          <w:rFonts w:ascii="Times New Roman" w:hAnsi="Times New Roman"/>
        </w:rPr>
        <w:t xml:space="preserve"> obwieszczenie ministra. Ponadto dokonano zmian w zakresie poręczeń i gwarancji. Now</w:t>
      </w:r>
      <w:r w:rsidR="00DD4998">
        <w:rPr>
          <w:rFonts w:ascii="Times New Roman" w:hAnsi="Times New Roman"/>
        </w:rPr>
        <w:t>y komunikat</w:t>
      </w:r>
      <w:r w:rsidRPr="008E5FB3">
        <w:rPr>
          <w:rFonts w:ascii="Times New Roman" w:hAnsi="Times New Roman"/>
        </w:rPr>
        <w:t xml:space="preserve"> nie będzie zawierać relacji niewymagalnych zobowiązań z tytułu poręczeń i gwarancji udzielonych przez Skarb Państwa do PKB. </w:t>
      </w:r>
    </w:p>
    <w:p w14:paraId="47732C48" w14:textId="77777777" w:rsidR="00A435B6" w:rsidRPr="008E5FB3" w:rsidRDefault="00A435B6" w:rsidP="00713591">
      <w:pPr>
        <w:spacing w:line="276" w:lineRule="auto"/>
        <w:jc w:val="both"/>
        <w:rPr>
          <w:rFonts w:ascii="Times New Roman" w:hAnsi="Times New Roman"/>
        </w:rPr>
      </w:pPr>
    </w:p>
    <w:p w14:paraId="2497EE97" w14:textId="2B042596" w:rsidR="00216961" w:rsidRDefault="00216961" w:rsidP="00713591">
      <w:pPr>
        <w:spacing w:line="276" w:lineRule="auto"/>
        <w:jc w:val="both"/>
        <w:rPr>
          <w:rFonts w:ascii="Times New Roman" w:hAnsi="Times New Roman"/>
        </w:rPr>
      </w:pPr>
      <w:r w:rsidRPr="008E5FB3">
        <w:rPr>
          <w:rFonts w:ascii="Times New Roman" w:hAnsi="Times New Roman"/>
        </w:rPr>
        <w:t>Powyższa zmiana wymagała uchylenia art. 38 i art. 38a oraz dokonania zmiany art. 36, 37, 86 i 87, art. 112aa oraz 182, które odwołują się do uchylanych art. 38 lub art. 38a</w:t>
      </w:r>
      <w:r w:rsidR="00864B7A">
        <w:rPr>
          <w:rFonts w:ascii="Times New Roman" w:hAnsi="Times New Roman"/>
        </w:rPr>
        <w:t>.</w:t>
      </w:r>
    </w:p>
    <w:p w14:paraId="4B297D8E" w14:textId="77777777" w:rsidR="004D441E" w:rsidRDefault="004D441E" w:rsidP="00713591">
      <w:pPr>
        <w:spacing w:line="276" w:lineRule="auto"/>
        <w:jc w:val="both"/>
        <w:rPr>
          <w:rFonts w:ascii="Times New Roman" w:hAnsi="Times New Roman"/>
        </w:rPr>
      </w:pPr>
    </w:p>
    <w:p w14:paraId="18EAB37F" w14:textId="77777777" w:rsidR="002D354E" w:rsidRPr="00D878F6" w:rsidRDefault="004D441E" w:rsidP="00713591">
      <w:pPr>
        <w:spacing w:line="276" w:lineRule="auto"/>
        <w:jc w:val="both"/>
        <w:rPr>
          <w:rFonts w:ascii="Times New Roman" w:hAnsi="Times New Roman"/>
        </w:rPr>
      </w:pPr>
      <w:r w:rsidRPr="00D878F6">
        <w:rPr>
          <w:rFonts w:ascii="Times New Roman" w:hAnsi="Times New Roman"/>
        </w:rPr>
        <w:t xml:space="preserve">W art. 41 uchylono ust. 3 i 5. W związku z tą zmianą w art. 41 w ust. 6 wyrazy „ust. 2, 4 i 5” zastąpiono wyrazami „ust. 2 i 4”. </w:t>
      </w:r>
    </w:p>
    <w:p w14:paraId="12478B44" w14:textId="77777777" w:rsidR="002D354E" w:rsidRPr="00D878F6" w:rsidRDefault="002D354E" w:rsidP="00713591">
      <w:pPr>
        <w:spacing w:line="276" w:lineRule="auto"/>
        <w:jc w:val="both"/>
        <w:rPr>
          <w:rFonts w:ascii="Times New Roman" w:hAnsi="Times New Roman"/>
        </w:rPr>
      </w:pPr>
    </w:p>
    <w:p w14:paraId="73A8DF88" w14:textId="08918335" w:rsidR="00216961" w:rsidRPr="00D878F6" w:rsidRDefault="004D441E" w:rsidP="00713591">
      <w:pPr>
        <w:spacing w:line="276" w:lineRule="auto"/>
        <w:jc w:val="both"/>
        <w:rPr>
          <w:rFonts w:ascii="Times New Roman" w:hAnsi="Times New Roman"/>
        </w:rPr>
      </w:pPr>
      <w:r w:rsidRPr="00D878F6">
        <w:rPr>
          <w:rFonts w:ascii="Times New Roman" w:hAnsi="Times New Roman"/>
        </w:rPr>
        <w:t xml:space="preserve">Zdecydowano o uchyleniu przepisu </w:t>
      </w:r>
      <w:r w:rsidR="002D354E" w:rsidRPr="00D878F6">
        <w:rPr>
          <w:rFonts w:ascii="Times New Roman" w:hAnsi="Times New Roman"/>
        </w:rPr>
        <w:t>stanowiącego</w:t>
      </w:r>
      <w:r w:rsidRPr="00D878F6">
        <w:rPr>
          <w:rFonts w:ascii="Times New Roman" w:hAnsi="Times New Roman"/>
        </w:rPr>
        <w:t xml:space="preserve"> delegację do wydania rozporządzenia</w:t>
      </w:r>
      <w:r w:rsidR="002D354E" w:rsidRPr="00D878F6">
        <w:rPr>
          <w:rFonts w:ascii="Times New Roman" w:hAnsi="Times New Roman"/>
        </w:rPr>
        <w:t xml:space="preserve"> (art. 41 </w:t>
      </w:r>
      <w:r w:rsidRPr="00D878F6">
        <w:rPr>
          <w:rFonts w:ascii="Times New Roman" w:hAnsi="Times New Roman"/>
        </w:rPr>
        <w:t>ust. 5</w:t>
      </w:r>
      <w:r w:rsidR="002D354E" w:rsidRPr="00D878F6">
        <w:rPr>
          <w:rFonts w:ascii="Times New Roman" w:hAnsi="Times New Roman"/>
        </w:rPr>
        <w:t>)</w:t>
      </w:r>
      <w:r w:rsidRPr="00D878F6">
        <w:rPr>
          <w:rFonts w:ascii="Times New Roman" w:hAnsi="Times New Roman"/>
        </w:rPr>
        <w:t xml:space="preserve"> i </w:t>
      </w:r>
      <w:r w:rsidR="002D354E" w:rsidRPr="00D878F6">
        <w:rPr>
          <w:rFonts w:ascii="Times New Roman" w:hAnsi="Times New Roman"/>
        </w:rPr>
        <w:t>jednocześnie</w:t>
      </w:r>
      <w:r w:rsidR="00216961" w:rsidRPr="00D878F6">
        <w:rPr>
          <w:rFonts w:ascii="Times New Roman" w:hAnsi="Times New Roman"/>
        </w:rPr>
        <w:t xml:space="preserve"> </w:t>
      </w:r>
      <w:r w:rsidR="002D354E" w:rsidRPr="00D878F6">
        <w:rPr>
          <w:rFonts w:ascii="Times New Roman" w:hAnsi="Times New Roman"/>
        </w:rPr>
        <w:t xml:space="preserve">przeniesiono </w:t>
      </w:r>
      <w:r w:rsidR="00216961" w:rsidRPr="00D878F6">
        <w:rPr>
          <w:rFonts w:ascii="Times New Roman" w:hAnsi="Times New Roman"/>
        </w:rPr>
        <w:t>część delegacji</w:t>
      </w:r>
      <w:r w:rsidR="002D354E" w:rsidRPr="00D878F6">
        <w:rPr>
          <w:rFonts w:ascii="Times New Roman" w:hAnsi="Times New Roman"/>
        </w:rPr>
        <w:t xml:space="preserve"> z ww. przepisu</w:t>
      </w:r>
      <w:r w:rsidR="00216961" w:rsidRPr="00D878F6">
        <w:rPr>
          <w:rFonts w:ascii="Times New Roman" w:hAnsi="Times New Roman"/>
        </w:rPr>
        <w:t xml:space="preserve"> </w:t>
      </w:r>
      <w:r w:rsidR="002D354E" w:rsidRPr="00D878F6">
        <w:rPr>
          <w:rFonts w:ascii="Times New Roman" w:hAnsi="Times New Roman"/>
        </w:rPr>
        <w:t xml:space="preserve">do nowego art. 73a ust. 2. Art. 73a ust. 2 będzie odnosił się tym samym </w:t>
      </w:r>
      <w:r w:rsidR="00216961" w:rsidRPr="00D878F6">
        <w:rPr>
          <w:rFonts w:ascii="Times New Roman" w:hAnsi="Times New Roman"/>
        </w:rPr>
        <w:t xml:space="preserve">do </w:t>
      </w:r>
      <w:r w:rsidR="002D354E" w:rsidRPr="00D878F6">
        <w:rPr>
          <w:rFonts w:ascii="Times New Roman" w:hAnsi="Times New Roman"/>
        </w:rPr>
        <w:t>operacji finansowych w zakresie</w:t>
      </w:r>
      <w:r w:rsidR="00216961" w:rsidRPr="00D878F6">
        <w:rPr>
          <w:rFonts w:ascii="Times New Roman" w:hAnsi="Times New Roman"/>
        </w:rPr>
        <w:t xml:space="preserve"> państwowego długu publicznego oraz gwarancji i poręczeń, a także innych operacji finansowych, które mogą mieć wpływ na obliczenie lub zwiększenie państwowego długu publicznego i przeniesienia tego zakresu do rozporządzenia wydawanego w ramach działu II – Państwowy dług publiczny.</w:t>
      </w:r>
      <w:r w:rsidR="00216961" w:rsidRPr="008E5FB3">
        <w:rPr>
          <w:rFonts w:ascii="Times New Roman" w:hAnsi="Times New Roman"/>
        </w:rPr>
        <w:t xml:space="preserve"> </w:t>
      </w:r>
    </w:p>
    <w:p w14:paraId="30946BF4" w14:textId="77777777" w:rsidR="00216961" w:rsidRPr="008E5FB3" w:rsidRDefault="00216961" w:rsidP="00713591">
      <w:pPr>
        <w:spacing w:line="276" w:lineRule="auto"/>
        <w:jc w:val="both"/>
        <w:rPr>
          <w:rFonts w:ascii="Times New Roman" w:hAnsi="Times New Roman"/>
          <w:b/>
          <w:i/>
        </w:rPr>
      </w:pPr>
    </w:p>
    <w:p w14:paraId="48FE39BF" w14:textId="3B59B5D5" w:rsidR="00216961" w:rsidRPr="008E5FB3" w:rsidRDefault="00216961" w:rsidP="00713591">
      <w:pPr>
        <w:spacing w:line="276" w:lineRule="auto"/>
        <w:jc w:val="both"/>
        <w:rPr>
          <w:rFonts w:ascii="Times New Roman" w:hAnsi="Times New Roman"/>
          <w:b/>
          <w:i/>
        </w:rPr>
      </w:pPr>
      <w:r w:rsidRPr="008E5FB3">
        <w:rPr>
          <w:rFonts w:ascii="Times New Roman" w:hAnsi="Times New Roman"/>
          <w:b/>
          <w:i/>
        </w:rPr>
        <w:t>dodanie art. 77a</w:t>
      </w:r>
    </w:p>
    <w:p w14:paraId="5BFA2083" w14:textId="77777777" w:rsidR="00216961" w:rsidRPr="008E5FB3" w:rsidRDefault="00216961" w:rsidP="00713591">
      <w:pPr>
        <w:spacing w:line="276" w:lineRule="auto"/>
        <w:jc w:val="both"/>
        <w:rPr>
          <w:rFonts w:ascii="Times New Roman" w:hAnsi="Times New Roman"/>
          <w:b/>
          <w:i/>
        </w:rPr>
      </w:pPr>
    </w:p>
    <w:p w14:paraId="25BE3069" w14:textId="4664B15C" w:rsidR="00216961" w:rsidRDefault="00216961" w:rsidP="00713591">
      <w:pPr>
        <w:spacing w:line="276" w:lineRule="auto"/>
        <w:jc w:val="both"/>
        <w:rPr>
          <w:rFonts w:ascii="Times New Roman" w:hAnsi="Times New Roman"/>
        </w:rPr>
      </w:pPr>
      <w:r w:rsidRPr="008E5FB3">
        <w:rPr>
          <w:rFonts w:ascii="Times New Roman" w:hAnsi="Times New Roman"/>
        </w:rPr>
        <w:t xml:space="preserve">Zmiana polega na dodaniu art. 77a regulującego wprost kompetencje Ministra Finansów do organizowania elektronicznego rynku obrotu skarbowymi papierami wartościowymi (SPW) oraz systemu dealerów skarbowych papierów wartościowych (DSPW). Obecnie przedmiotowe kompetencje wywodzi się z art. 77. Biorąc pod uwagę, że system DSPW </w:t>
      </w:r>
      <w:r w:rsidR="005C1559">
        <w:rPr>
          <w:rFonts w:ascii="Times New Roman" w:hAnsi="Times New Roman"/>
        </w:rPr>
        <w:t>i</w:t>
      </w:r>
      <w:r w:rsidRPr="008E5FB3">
        <w:rPr>
          <w:rFonts w:ascii="Times New Roman" w:hAnsi="Times New Roman"/>
        </w:rPr>
        <w:t xml:space="preserve"> rynek obrotu SPW funkcjonują od kilkunastu lat jako istotne elementy instytucjonalne otoczenia związanego z</w:t>
      </w:r>
      <w:r w:rsidR="005C1559">
        <w:rPr>
          <w:rFonts w:ascii="Times New Roman" w:hAnsi="Times New Roman"/>
        </w:rPr>
        <w:t> </w:t>
      </w:r>
      <w:r w:rsidRPr="008E5FB3">
        <w:rPr>
          <w:rFonts w:ascii="Times New Roman" w:hAnsi="Times New Roman"/>
        </w:rPr>
        <w:t xml:space="preserve">zarządzaniem długiem Skarbu Państwa, zasadne </w:t>
      </w:r>
      <w:r w:rsidR="006D1D8E">
        <w:rPr>
          <w:rFonts w:ascii="Times New Roman" w:hAnsi="Times New Roman"/>
        </w:rPr>
        <w:t>jest</w:t>
      </w:r>
      <w:r w:rsidRPr="008E5FB3">
        <w:rPr>
          <w:rFonts w:ascii="Times New Roman" w:hAnsi="Times New Roman"/>
        </w:rPr>
        <w:t xml:space="preserve"> uregulowanie przedmiotowej kwestii wprost w ustawie.</w:t>
      </w:r>
    </w:p>
    <w:p w14:paraId="612CC4FB" w14:textId="77777777" w:rsidR="00713591" w:rsidRDefault="00713591" w:rsidP="00713591">
      <w:pPr>
        <w:spacing w:line="276" w:lineRule="auto"/>
        <w:jc w:val="both"/>
        <w:rPr>
          <w:rFonts w:ascii="Times New Roman" w:hAnsi="Times New Roman"/>
        </w:rPr>
      </w:pPr>
    </w:p>
    <w:p w14:paraId="60D7D447" w14:textId="6B8FDE15" w:rsidR="00126D1E" w:rsidRDefault="00126D1E" w:rsidP="00713591">
      <w:pPr>
        <w:pStyle w:val="Default"/>
        <w:spacing w:line="276" w:lineRule="auto"/>
        <w:jc w:val="both"/>
      </w:pPr>
      <w:r w:rsidRPr="007E4F9F">
        <w:rPr>
          <w:color w:val="auto"/>
        </w:rPr>
        <w:lastRenderedPageBreak/>
        <w:t xml:space="preserve">Przede wszystkim należy mieć na uwadze istniejące w zakresie rynku obrotu SPW regulacje ustawy z dnia 29 lipca 2005 r. </w:t>
      </w:r>
      <w:r w:rsidRPr="00FB28B4">
        <w:rPr>
          <w:i/>
          <w:color w:val="auto"/>
        </w:rPr>
        <w:t>o obrocie instrumentami finansowymi</w:t>
      </w:r>
      <w:r w:rsidRPr="007E4F9F">
        <w:rPr>
          <w:color w:val="auto"/>
        </w:rPr>
        <w:t xml:space="preserve"> (Dz. U. z 202</w:t>
      </w:r>
      <w:r w:rsidR="00D97C25">
        <w:rPr>
          <w:color w:val="auto"/>
        </w:rPr>
        <w:t>2</w:t>
      </w:r>
      <w:r w:rsidRPr="007E4F9F">
        <w:rPr>
          <w:color w:val="auto"/>
        </w:rPr>
        <w:t xml:space="preserve"> r. poz. </w:t>
      </w:r>
      <w:r w:rsidR="00D97C25">
        <w:rPr>
          <w:color w:val="auto"/>
        </w:rPr>
        <w:t>861</w:t>
      </w:r>
      <w:r w:rsidRPr="007E4F9F">
        <w:rPr>
          <w:color w:val="auto"/>
        </w:rPr>
        <w:t xml:space="preserve">, z </w:t>
      </w:r>
      <w:proofErr w:type="spellStart"/>
      <w:r w:rsidRPr="007E4F9F">
        <w:rPr>
          <w:color w:val="auto"/>
        </w:rPr>
        <w:t>póź</w:t>
      </w:r>
      <w:r w:rsidR="006D1D8E">
        <w:rPr>
          <w:color w:val="auto"/>
        </w:rPr>
        <w:t>n</w:t>
      </w:r>
      <w:proofErr w:type="spellEnd"/>
      <w:r w:rsidR="006D1D8E">
        <w:rPr>
          <w:color w:val="auto"/>
        </w:rPr>
        <w:t>. zm.). Zgodnie z art. 13c tej</w:t>
      </w:r>
      <w:r w:rsidRPr="007E4F9F">
        <w:rPr>
          <w:color w:val="auto"/>
        </w:rPr>
        <w:t xml:space="preserve"> ustawy </w:t>
      </w:r>
      <w:r w:rsidRPr="007E4F9F">
        <w:rPr>
          <w:bCs/>
          <w:color w:val="auto"/>
        </w:rPr>
        <w:t>m</w:t>
      </w:r>
      <w:r w:rsidRPr="007E4F9F">
        <w:rPr>
          <w:color w:val="auto"/>
        </w:rPr>
        <w:t xml:space="preserve">inister właściwy do spraw budżetu może organizować rynek obrotu skarbowymi papierami wartościowymi w rozumieniu ustawy z dnia 27 sierpnia 2009 r. o finansach publicznych oraz instrumentami finansowymi, których instrumentem bazowym jest skarbowy papier wartościowy. </w:t>
      </w:r>
      <w:r w:rsidRPr="007E4F9F">
        <w:rPr>
          <w:bCs/>
          <w:color w:val="auto"/>
        </w:rPr>
        <w:t>Natomiast zgodnie z art. 13d ust. 1 i 2 m</w:t>
      </w:r>
      <w:r w:rsidRPr="007E4F9F">
        <w:rPr>
          <w:color w:val="auto"/>
        </w:rPr>
        <w:t>inister właściwy do spraw budżetu może zlecać innym podmiotom organizację rynku obrotu skarbowymi papierami wartościowymi ustawy z dnia 27 sierpnia 2009 r. o finansach publicznych oraz instrumentami finansowymi, których instrumentem bazowym jest skarbowy papier wartościowy. Rynek ten  może być prowadzony jako ASO, rynek regulowany lub rynek poza systemem obrotu instrumentami finansowymi.</w:t>
      </w:r>
      <w:r>
        <w:rPr>
          <w:color w:val="auto"/>
        </w:rPr>
        <w:t xml:space="preserve"> </w:t>
      </w:r>
      <w:r w:rsidRPr="007E4F9F">
        <w:t>Rynek obrotu SPW</w:t>
      </w:r>
      <w:r w:rsidR="00286873">
        <w:t xml:space="preserve"> funkcjonował</w:t>
      </w:r>
      <w:r w:rsidR="00286873" w:rsidRPr="00286873">
        <w:t xml:space="preserve"> przez wiele lat (od 2003 r.) jako niezo</w:t>
      </w:r>
      <w:r w:rsidR="00286873">
        <w:t>rganizowany rynek  obrotu SPW (</w:t>
      </w:r>
      <w:r w:rsidR="00286873" w:rsidRPr="00286873">
        <w:t>tzw. OTC), a od</w:t>
      </w:r>
      <w:r w:rsidR="00286873">
        <w:t xml:space="preserve"> </w:t>
      </w:r>
      <w:r w:rsidR="00286873" w:rsidRPr="00286873">
        <w:t>20 kwietnia 2018 r. funkcjonuje  jako ASO.</w:t>
      </w:r>
      <w:r w:rsidR="00286873">
        <w:t xml:space="preserve"> </w:t>
      </w:r>
    </w:p>
    <w:p w14:paraId="0D8DB9A3" w14:textId="77777777" w:rsidR="00713591" w:rsidRPr="007E4F9F" w:rsidRDefault="00713591" w:rsidP="00713591">
      <w:pPr>
        <w:pStyle w:val="Default"/>
        <w:spacing w:line="276" w:lineRule="auto"/>
        <w:jc w:val="both"/>
      </w:pPr>
    </w:p>
    <w:p w14:paraId="6439A907" w14:textId="184453C8" w:rsidR="00225EF3" w:rsidRPr="008E5FB3" w:rsidRDefault="00126D1E" w:rsidP="00713591">
      <w:pPr>
        <w:spacing w:line="276" w:lineRule="auto"/>
        <w:jc w:val="both"/>
        <w:rPr>
          <w:rFonts w:ascii="Times New Roman" w:hAnsi="Times New Roman"/>
        </w:rPr>
      </w:pPr>
      <w:r w:rsidRPr="007E4F9F">
        <w:rPr>
          <w:rFonts w:ascii="Times New Roman" w:hAnsi="Times New Roman"/>
        </w:rPr>
        <w:t>Podobnie przedstawia się sprawa w zakresie systemu dealerów skarbowych papierów wartościowych. Należy mieć na uwadze, że pojęcie dealera skarbowych papierów wartościowych (DSPW) funkcjonuje w aktach wydanych na podstawie art. 97 ustawy o</w:t>
      </w:r>
      <w:r w:rsidR="00713591">
        <w:rPr>
          <w:rFonts w:ascii="Times New Roman" w:hAnsi="Times New Roman"/>
        </w:rPr>
        <w:t> </w:t>
      </w:r>
      <w:r w:rsidRPr="00EE01DA">
        <w:rPr>
          <w:rFonts w:ascii="Times New Roman" w:hAnsi="Times New Roman"/>
          <w:shd w:val="clear" w:color="auto" w:fill="FFFFFF"/>
        </w:rPr>
        <w:t>finansach publicznych, np. w rozporządzeniu Ministra Finansów</w:t>
      </w:r>
      <w:r w:rsidRPr="007E4F9F">
        <w:rPr>
          <w:rFonts w:ascii="Times New Roman" w:hAnsi="Times New Roman"/>
          <w:shd w:val="clear" w:color="auto" w:fill="FFFFFF"/>
        </w:rPr>
        <w:t xml:space="preserve"> z dnia 30 sierpnia 2013 r. </w:t>
      </w:r>
      <w:r w:rsidRPr="00FB28B4">
        <w:rPr>
          <w:rFonts w:ascii="Times New Roman" w:hAnsi="Times New Roman"/>
          <w:i/>
          <w:shd w:val="clear" w:color="auto" w:fill="FFFFFF"/>
        </w:rPr>
        <w:t>w sprawie warunków emitowania obligacji skarbowych oferowanych w sprzedaży hurtowej</w:t>
      </w:r>
      <w:r w:rsidRPr="007E4F9F">
        <w:rPr>
          <w:rFonts w:ascii="Times New Roman" w:hAnsi="Times New Roman"/>
          <w:shd w:val="clear" w:color="auto" w:fill="FFFFFF"/>
        </w:rPr>
        <w:t xml:space="preserve"> (Dz. U. z 2020 r.  poz. 86), czy </w:t>
      </w:r>
      <w:r w:rsidRPr="00EE01DA">
        <w:rPr>
          <w:rFonts w:ascii="Times New Roman" w:hAnsi="Times New Roman"/>
          <w:shd w:val="clear" w:color="auto" w:fill="FFFFFF"/>
        </w:rPr>
        <w:t>rozporządzeniu Ministra Finansów</w:t>
      </w:r>
      <w:r w:rsidRPr="007E4F9F">
        <w:rPr>
          <w:rFonts w:ascii="Times New Roman" w:hAnsi="Times New Roman"/>
          <w:shd w:val="clear" w:color="auto" w:fill="FFFFFF"/>
        </w:rPr>
        <w:t xml:space="preserve"> z dnia 30 sierpnia 2013 r. </w:t>
      </w:r>
      <w:r w:rsidRPr="00FB28B4">
        <w:rPr>
          <w:rFonts w:ascii="Times New Roman" w:hAnsi="Times New Roman"/>
          <w:i/>
          <w:shd w:val="clear" w:color="auto" w:fill="FFFFFF"/>
        </w:rPr>
        <w:t>w sprawie warunków emitowania bonów skarbowych</w:t>
      </w:r>
      <w:r w:rsidRPr="00EE01DA">
        <w:rPr>
          <w:rFonts w:ascii="Times New Roman" w:hAnsi="Times New Roman"/>
          <w:shd w:val="clear" w:color="auto" w:fill="FFFFFF"/>
        </w:rPr>
        <w:t xml:space="preserve">. </w:t>
      </w:r>
      <w:r w:rsidRPr="007E4F9F">
        <w:rPr>
          <w:rFonts w:ascii="Times New Roman" w:hAnsi="Times New Roman"/>
          <w:shd w:val="clear" w:color="auto" w:fill="FFFFFF"/>
        </w:rPr>
        <w:t xml:space="preserve">Zgodnie z przedmiotowymi rozporządzeniami przez DSPW – rozumie się banki, instytucje kredytowe lub instytucje finansowe, a także ich oddziały, w rozumieniu ustawy z dnia 29 sierpnia 1997 r. – </w:t>
      </w:r>
      <w:r w:rsidRPr="00FB28B4">
        <w:rPr>
          <w:rFonts w:ascii="Times New Roman" w:hAnsi="Times New Roman"/>
          <w:i/>
          <w:shd w:val="clear" w:color="auto" w:fill="FFFFFF"/>
        </w:rPr>
        <w:t>Prawo bankowe</w:t>
      </w:r>
      <w:r w:rsidR="00D97C25">
        <w:rPr>
          <w:rFonts w:ascii="Times New Roman" w:hAnsi="Times New Roman"/>
          <w:shd w:val="clear" w:color="auto" w:fill="FFFFFF"/>
        </w:rPr>
        <w:t xml:space="preserve"> (Dz. U. z 2021 r. poz. 2439, z </w:t>
      </w:r>
      <w:proofErr w:type="spellStart"/>
      <w:r w:rsidR="00D97C25">
        <w:rPr>
          <w:rFonts w:ascii="Times New Roman" w:hAnsi="Times New Roman"/>
          <w:shd w:val="clear" w:color="auto" w:fill="FFFFFF"/>
        </w:rPr>
        <w:t>późn</w:t>
      </w:r>
      <w:proofErr w:type="spellEnd"/>
      <w:r w:rsidR="00D97C25">
        <w:rPr>
          <w:rFonts w:ascii="Times New Roman" w:hAnsi="Times New Roman"/>
          <w:shd w:val="clear" w:color="auto" w:fill="FFFFFF"/>
        </w:rPr>
        <w:t>. zm.)</w:t>
      </w:r>
      <w:r w:rsidRPr="007E4F9F">
        <w:rPr>
          <w:rFonts w:ascii="Times New Roman" w:hAnsi="Times New Roman"/>
          <w:shd w:val="clear" w:color="auto" w:fill="FFFFFF"/>
        </w:rPr>
        <w:t xml:space="preserve">, z którymi Minister Finansów zawarł umowę w sprawie pełnienia funkcji Dealera Skarbowych Papierów Wartościowych. Pojęcie DSPW funkcjonuje w prawie już od lat poprzez </w:t>
      </w:r>
      <w:r w:rsidR="006D1D8E">
        <w:rPr>
          <w:rFonts w:ascii="Times New Roman" w:hAnsi="Times New Roman"/>
          <w:shd w:val="clear" w:color="auto" w:fill="FFFFFF"/>
        </w:rPr>
        <w:t>r</w:t>
      </w:r>
      <w:r w:rsidRPr="007E4F9F">
        <w:rPr>
          <w:rFonts w:ascii="Times New Roman" w:hAnsi="Times New Roman"/>
          <w:shd w:val="clear" w:color="auto" w:fill="FFFFFF"/>
        </w:rPr>
        <w:t>egulaminy w sprawie pełnienia funkcji Dealera Skarbowych Papierów Wartościowych, kt</w:t>
      </w:r>
      <w:r w:rsidR="006D1D8E">
        <w:rPr>
          <w:rFonts w:ascii="Times New Roman" w:hAnsi="Times New Roman"/>
          <w:shd w:val="clear" w:color="auto" w:fill="FFFFFF"/>
        </w:rPr>
        <w:t>óre stanowią integralną cz</w:t>
      </w:r>
      <w:r w:rsidR="00270F5A">
        <w:rPr>
          <w:rFonts w:ascii="Times New Roman" w:hAnsi="Times New Roman"/>
          <w:shd w:val="clear" w:color="auto" w:fill="FFFFFF"/>
        </w:rPr>
        <w:t>ę</w:t>
      </w:r>
      <w:r w:rsidR="006D1D8E">
        <w:rPr>
          <w:rFonts w:ascii="Times New Roman" w:hAnsi="Times New Roman"/>
          <w:shd w:val="clear" w:color="auto" w:fill="FFFFFF"/>
        </w:rPr>
        <w:t>ść w</w:t>
      </w:r>
      <w:r w:rsidRPr="007E4F9F">
        <w:rPr>
          <w:rFonts w:ascii="Times New Roman" w:hAnsi="Times New Roman"/>
          <w:shd w:val="clear" w:color="auto" w:fill="FFFFFF"/>
        </w:rPr>
        <w:t>w</w:t>
      </w:r>
      <w:r w:rsidR="006D1D8E">
        <w:rPr>
          <w:rFonts w:ascii="Times New Roman" w:hAnsi="Times New Roman"/>
          <w:shd w:val="clear" w:color="auto" w:fill="FFFFFF"/>
        </w:rPr>
        <w:t>.</w:t>
      </w:r>
      <w:r w:rsidRPr="007E4F9F">
        <w:rPr>
          <w:rFonts w:ascii="Times New Roman" w:hAnsi="Times New Roman"/>
          <w:shd w:val="clear" w:color="auto" w:fill="FFFFFF"/>
        </w:rPr>
        <w:t xml:space="preserve"> umów. Biorąc pod uwagę, że pojęcia te funkcjonują w aktach niższego rzędu, wydaje się za zasadne wskazanie tej instytucji</w:t>
      </w:r>
      <w:r>
        <w:rPr>
          <w:rFonts w:ascii="Times New Roman" w:hAnsi="Times New Roman"/>
          <w:shd w:val="clear" w:color="auto" w:fill="FFFFFF"/>
        </w:rPr>
        <w:t>,</w:t>
      </w:r>
      <w:r w:rsidRPr="007E4F9F">
        <w:rPr>
          <w:rFonts w:ascii="Times New Roman" w:hAnsi="Times New Roman"/>
          <w:shd w:val="clear" w:color="auto" w:fill="FFFFFF"/>
        </w:rPr>
        <w:t xml:space="preserve"> tj. DSPW,  również  na poziomie ustaw</w:t>
      </w:r>
      <w:r>
        <w:rPr>
          <w:rFonts w:ascii="Times New Roman" w:hAnsi="Times New Roman"/>
          <w:shd w:val="clear" w:color="auto" w:fill="FFFFFF"/>
        </w:rPr>
        <w:t>owym, bez konieczności jej definiowania.</w:t>
      </w:r>
    </w:p>
    <w:p w14:paraId="0C53F86D" w14:textId="77777777" w:rsidR="00216961" w:rsidRPr="008E5FB3" w:rsidRDefault="00216961" w:rsidP="00713591">
      <w:pPr>
        <w:spacing w:line="276" w:lineRule="auto"/>
        <w:jc w:val="both"/>
        <w:rPr>
          <w:rFonts w:ascii="Times New Roman" w:hAnsi="Times New Roman"/>
          <w:b/>
          <w:i/>
        </w:rPr>
      </w:pPr>
    </w:p>
    <w:p w14:paraId="0C6E1DA1" w14:textId="7EB4AC1D" w:rsidR="00216961" w:rsidRPr="008E5FB3" w:rsidRDefault="00216961" w:rsidP="00713591">
      <w:pPr>
        <w:spacing w:line="276" w:lineRule="auto"/>
        <w:jc w:val="both"/>
        <w:rPr>
          <w:rFonts w:ascii="Times New Roman" w:hAnsi="Times New Roman"/>
          <w:b/>
          <w:i/>
        </w:rPr>
      </w:pPr>
      <w:r w:rsidRPr="008E5FB3">
        <w:rPr>
          <w:rFonts w:ascii="Times New Roman" w:hAnsi="Times New Roman"/>
          <w:b/>
          <w:i/>
        </w:rPr>
        <w:t>zmiana w art. 78</w:t>
      </w:r>
      <w:r w:rsidR="001621E8">
        <w:rPr>
          <w:rFonts w:ascii="Times New Roman" w:hAnsi="Times New Roman"/>
          <w:b/>
          <w:i/>
        </w:rPr>
        <w:t xml:space="preserve"> ust. 1 pkt 1 lit. b i dodanie ust. 4</w:t>
      </w:r>
    </w:p>
    <w:p w14:paraId="77736D85" w14:textId="77777777" w:rsidR="00216961" w:rsidRPr="008E5FB3" w:rsidRDefault="00216961" w:rsidP="00713591">
      <w:pPr>
        <w:spacing w:line="276" w:lineRule="auto"/>
        <w:jc w:val="both"/>
        <w:rPr>
          <w:rFonts w:ascii="Times New Roman" w:hAnsi="Times New Roman"/>
          <w:b/>
          <w:i/>
        </w:rPr>
      </w:pPr>
    </w:p>
    <w:p w14:paraId="223D84D3" w14:textId="4E73C99E" w:rsidR="00216961" w:rsidRDefault="00216961" w:rsidP="00713591">
      <w:pPr>
        <w:spacing w:line="276" w:lineRule="auto"/>
        <w:jc w:val="both"/>
        <w:rPr>
          <w:rFonts w:ascii="Times New Roman" w:hAnsi="Times New Roman"/>
        </w:rPr>
      </w:pPr>
      <w:r w:rsidRPr="008E5FB3">
        <w:rPr>
          <w:rFonts w:ascii="Times New Roman" w:hAnsi="Times New Roman"/>
        </w:rPr>
        <w:t xml:space="preserve">W </w:t>
      </w:r>
      <w:r w:rsidR="00713591">
        <w:rPr>
          <w:rFonts w:ascii="Times New Roman" w:hAnsi="Times New Roman"/>
        </w:rPr>
        <w:t>przepisie</w:t>
      </w:r>
      <w:r w:rsidRPr="008E5FB3">
        <w:rPr>
          <w:rFonts w:ascii="Times New Roman" w:hAnsi="Times New Roman"/>
        </w:rPr>
        <w:t xml:space="preserve"> ust. 1 pkt 1 lit</w:t>
      </w:r>
      <w:r w:rsidR="00EE01DA">
        <w:rPr>
          <w:rFonts w:ascii="Times New Roman" w:hAnsi="Times New Roman"/>
        </w:rPr>
        <w:t>.</w:t>
      </w:r>
      <w:r w:rsidRPr="008E5FB3">
        <w:rPr>
          <w:rFonts w:ascii="Times New Roman" w:hAnsi="Times New Roman"/>
        </w:rPr>
        <w:t xml:space="preserve"> b przyznaje się wprost Ministrowi Finansów kompetencje do prowadzenia ewidencji księgowej związanej z zaciąganym długiem Skarbu Państwa</w:t>
      </w:r>
      <w:r w:rsidR="00EE01DA">
        <w:rPr>
          <w:rFonts w:ascii="Times New Roman" w:hAnsi="Times New Roman"/>
        </w:rPr>
        <w:t>.</w:t>
      </w:r>
      <w:r w:rsidRPr="008E5FB3">
        <w:rPr>
          <w:rFonts w:ascii="Times New Roman" w:hAnsi="Times New Roman"/>
        </w:rPr>
        <w:t xml:space="preserve"> </w:t>
      </w:r>
      <w:r w:rsidR="00EE01DA">
        <w:rPr>
          <w:rFonts w:ascii="Times New Roman" w:hAnsi="Times New Roman"/>
        </w:rPr>
        <w:t>D</w:t>
      </w:r>
      <w:r w:rsidRPr="008E5FB3">
        <w:rPr>
          <w:rFonts w:ascii="Times New Roman" w:hAnsi="Times New Roman"/>
        </w:rPr>
        <w:t xml:space="preserve">odaje się </w:t>
      </w:r>
      <w:r w:rsidR="00EE01DA">
        <w:rPr>
          <w:rFonts w:ascii="Times New Roman" w:hAnsi="Times New Roman"/>
        </w:rPr>
        <w:t xml:space="preserve">również </w:t>
      </w:r>
      <w:r w:rsidRPr="008E5FB3">
        <w:rPr>
          <w:rFonts w:ascii="Times New Roman" w:hAnsi="Times New Roman"/>
        </w:rPr>
        <w:t>ust. 4, w którym wyraźnie potwierdz</w:t>
      </w:r>
      <w:r w:rsidR="00EE01DA">
        <w:rPr>
          <w:rFonts w:ascii="Times New Roman" w:hAnsi="Times New Roman"/>
        </w:rPr>
        <w:t>ona zostaje</w:t>
      </w:r>
      <w:r w:rsidR="00C51AB0">
        <w:rPr>
          <w:rFonts w:ascii="Times New Roman" w:hAnsi="Times New Roman"/>
        </w:rPr>
        <w:t xml:space="preserve"> </w:t>
      </w:r>
      <w:r w:rsidRPr="008E5FB3">
        <w:rPr>
          <w:rFonts w:ascii="Times New Roman" w:hAnsi="Times New Roman"/>
        </w:rPr>
        <w:t>możliwość powierzania w drodze umowy pr</w:t>
      </w:r>
      <w:r w:rsidR="00D12A3C">
        <w:rPr>
          <w:rFonts w:ascii="Times New Roman" w:hAnsi="Times New Roman"/>
        </w:rPr>
        <w:t>owadzenia ewidencji księgowej w </w:t>
      </w:r>
      <w:r w:rsidRPr="008E5FB3">
        <w:rPr>
          <w:rFonts w:ascii="Times New Roman" w:hAnsi="Times New Roman"/>
        </w:rPr>
        <w:t>zakresie długu Skarbu Państwa i jego obsługi BGK lub NBP.</w:t>
      </w:r>
    </w:p>
    <w:p w14:paraId="6AB65335" w14:textId="77777777" w:rsidR="008D3B9B" w:rsidRDefault="008D3B9B" w:rsidP="00713591">
      <w:pPr>
        <w:spacing w:line="276" w:lineRule="auto"/>
        <w:jc w:val="both"/>
        <w:rPr>
          <w:rFonts w:ascii="Times New Roman" w:hAnsi="Times New Roman"/>
        </w:rPr>
      </w:pPr>
    </w:p>
    <w:p w14:paraId="6FA3063F" w14:textId="7DCEC2EF" w:rsidR="008D3B9B" w:rsidRPr="00CF175A" w:rsidRDefault="008D3B9B" w:rsidP="00713591">
      <w:pPr>
        <w:spacing w:line="276" w:lineRule="auto"/>
        <w:jc w:val="both"/>
        <w:rPr>
          <w:rFonts w:ascii="Times New Roman" w:hAnsi="Times New Roman"/>
          <w:b/>
          <w:i/>
        </w:rPr>
      </w:pPr>
      <w:r w:rsidRPr="00CF175A">
        <w:rPr>
          <w:rFonts w:ascii="Times New Roman" w:hAnsi="Times New Roman"/>
          <w:b/>
          <w:i/>
        </w:rPr>
        <w:t>zmiana w art. 78b, dodanie ust. 2a</w:t>
      </w:r>
    </w:p>
    <w:p w14:paraId="4A3D0E09" w14:textId="77777777" w:rsidR="008D3B9B" w:rsidRDefault="008D3B9B" w:rsidP="00713591">
      <w:pPr>
        <w:spacing w:line="276" w:lineRule="auto"/>
        <w:jc w:val="both"/>
        <w:rPr>
          <w:rFonts w:ascii="Times New Roman" w:hAnsi="Times New Roman"/>
        </w:rPr>
      </w:pPr>
    </w:p>
    <w:p w14:paraId="5A58E9C9" w14:textId="615BA00B" w:rsidR="008D3B9B" w:rsidRDefault="008D3B9B" w:rsidP="008D3B9B">
      <w:pPr>
        <w:spacing w:line="276" w:lineRule="auto"/>
        <w:jc w:val="both"/>
        <w:rPr>
          <w:rFonts w:ascii="Times New Roman" w:hAnsi="Times New Roman"/>
        </w:rPr>
      </w:pPr>
      <w:r w:rsidRPr="008D3B9B">
        <w:rPr>
          <w:rFonts w:ascii="Times New Roman" w:hAnsi="Times New Roman"/>
        </w:rPr>
        <w:t>W związku z tym, iż dla realizacji zadań publicznych u</w:t>
      </w:r>
      <w:r>
        <w:rPr>
          <w:rFonts w:ascii="Times New Roman" w:hAnsi="Times New Roman"/>
        </w:rPr>
        <w:t xml:space="preserve">stawodawca tworzy </w:t>
      </w:r>
      <w:r w:rsidRPr="008D3B9B">
        <w:rPr>
          <w:rFonts w:ascii="Times New Roman" w:hAnsi="Times New Roman"/>
        </w:rPr>
        <w:t>fundusz</w:t>
      </w:r>
      <w:r w:rsidR="006D1D8E">
        <w:rPr>
          <w:rFonts w:ascii="Times New Roman" w:hAnsi="Times New Roman"/>
        </w:rPr>
        <w:t>e</w:t>
      </w:r>
      <w:r w:rsidRPr="008D3B9B">
        <w:rPr>
          <w:rFonts w:ascii="Times New Roman" w:hAnsi="Times New Roman"/>
        </w:rPr>
        <w:t xml:space="preserve"> w BGK, które nie są jednostkami sektora finansów</w:t>
      </w:r>
      <w:r>
        <w:rPr>
          <w:rFonts w:ascii="Times New Roman" w:hAnsi="Times New Roman"/>
        </w:rPr>
        <w:t xml:space="preserve"> publicznych, a ich działalność </w:t>
      </w:r>
      <w:r w:rsidRPr="008D3B9B">
        <w:rPr>
          <w:rFonts w:ascii="Times New Roman" w:hAnsi="Times New Roman"/>
        </w:rPr>
        <w:t>finansowana jest ze środków budżetu, czy to w for</w:t>
      </w:r>
      <w:r>
        <w:rPr>
          <w:rFonts w:ascii="Times New Roman" w:hAnsi="Times New Roman"/>
        </w:rPr>
        <w:t xml:space="preserve">mie dotacji, czy przekazywanych </w:t>
      </w:r>
      <w:r w:rsidRPr="008D3B9B">
        <w:rPr>
          <w:rFonts w:ascii="Times New Roman" w:hAnsi="Times New Roman"/>
        </w:rPr>
        <w:t>nieodpłatnie skarbowych papierów wartościowych, czy też w</w:t>
      </w:r>
      <w:r w:rsidR="005C1559">
        <w:rPr>
          <w:rFonts w:ascii="Times New Roman" w:hAnsi="Times New Roman"/>
        </w:rPr>
        <w:t xml:space="preserve"> formie partycypacji w daninach </w:t>
      </w:r>
      <w:r w:rsidRPr="008D3B9B">
        <w:rPr>
          <w:rFonts w:ascii="Times New Roman" w:hAnsi="Times New Roman"/>
        </w:rPr>
        <w:t xml:space="preserve">publicznych, zasadne jest </w:t>
      </w:r>
      <w:r w:rsidRPr="008D3B9B">
        <w:rPr>
          <w:rFonts w:ascii="Times New Roman" w:hAnsi="Times New Roman"/>
        </w:rPr>
        <w:lastRenderedPageBreak/>
        <w:t xml:space="preserve">objęcie takich funduszy, które są </w:t>
      </w:r>
      <w:r>
        <w:rPr>
          <w:rFonts w:ascii="Times New Roman" w:hAnsi="Times New Roman"/>
        </w:rPr>
        <w:t xml:space="preserve">zaliczane do sektora instytucji </w:t>
      </w:r>
      <w:r w:rsidRPr="008D3B9B">
        <w:rPr>
          <w:rFonts w:ascii="Times New Roman" w:hAnsi="Times New Roman"/>
        </w:rPr>
        <w:t>rządowych i samorządowych</w:t>
      </w:r>
      <w:r w:rsidR="006D1D8E">
        <w:rPr>
          <w:rFonts w:ascii="Times New Roman" w:hAnsi="Times New Roman"/>
        </w:rPr>
        <w:t>,</w:t>
      </w:r>
      <w:r w:rsidRPr="008D3B9B">
        <w:rPr>
          <w:rFonts w:ascii="Times New Roman" w:hAnsi="Times New Roman"/>
        </w:rPr>
        <w:t xml:space="preserve"> konsolidacją środków publicznych w zakresie ich lokowania.</w:t>
      </w:r>
    </w:p>
    <w:p w14:paraId="13179E57" w14:textId="77777777" w:rsidR="005C1559" w:rsidRPr="008D3B9B" w:rsidRDefault="005C1559" w:rsidP="008D3B9B">
      <w:pPr>
        <w:spacing w:line="276" w:lineRule="auto"/>
        <w:jc w:val="both"/>
        <w:rPr>
          <w:rFonts w:ascii="Times New Roman" w:hAnsi="Times New Roman"/>
        </w:rPr>
      </w:pPr>
    </w:p>
    <w:p w14:paraId="71FB0EAF" w14:textId="0A4E0AF0" w:rsidR="008D3B9B" w:rsidRPr="008D3B9B" w:rsidRDefault="008D3B9B" w:rsidP="008D3B9B">
      <w:pPr>
        <w:spacing w:line="276" w:lineRule="auto"/>
        <w:jc w:val="both"/>
        <w:rPr>
          <w:rFonts w:ascii="Times New Roman" w:hAnsi="Times New Roman"/>
        </w:rPr>
      </w:pPr>
      <w:r w:rsidRPr="008D3B9B">
        <w:rPr>
          <w:rFonts w:ascii="Times New Roman" w:hAnsi="Times New Roman"/>
        </w:rPr>
        <w:t>Pozwoli to ograniczyć potrzeby pożyczkowe budżetu p</w:t>
      </w:r>
      <w:r>
        <w:rPr>
          <w:rFonts w:ascii="Times New Roman" w:hAnsi="Times New Roman"/>
        </w:rPr>
        <w:t xml:space="preserve">aństwa i przyrost długu sektora </w:t>
      </w:r>
      <w:r w:rsidRPr="008D3B9B">
        <w:rPr>
          <w:rFonts w:ascii="Times New Roman" w:hAnsi="Times New Roman"/>
        </w:rPr>
        <w:t>instytucji rządowych i samorządowych związany z dzi</w:t>
      </w:r>
      <w:r>
        <w:rPr>
          <w:rFonts w:ascii="Times New Roman" w:hAnsi="Times New Roman"/>
        </w:rPr>
        <w:t xml:space="preserve">ałalnością tych funduszy. Takie </w:t>
      </w:r>
      <w:r w:rsidRPr="008D3B9B">
        <w:rPr>
          <w:rFonts w:ascii="Times New Roman" w:hAnsi="Times New Roman"/>
        </w:rPr>
        <w:t>rozwiązanie zostało już zawarte w ustawie z dnia 4 kwietnia 2019 r. o wspieraniu działalności</w:t>
      </w:r>
    </w:p>
    <w:p w14:paraId="5C44EF7F" w14:textId="11C13EB7" w:rsidR="008D3B9B" w:rsidRPr="008E5FB3" w:rsidRDefault="008D3B9B" w:rsidP="008D3B9B">
      <w:pPr>
        <w:spacing w:line="276" w:lineRule="auto"/>
        <w:jc w:val="both"/>
        <w:rPr>
          <w:rFonts w:ascii="Times New Roman" w:hAnsi="Times New Roman"/>
        </w:rPr>
      </w:pPr>
      <w:r w:rsidRPr="008D3B9B">
        <w:rPr>
          <w:rFonts w:ascii="Times New Roman" w:hAnsi="Times New Roman"/>
        </w:rPr>
        <w:t xml:space="preserve">naukowej z Funduszu Polskiej Nauki (Dz. U. z 2021 r. poz. </w:t>
      </w:r>
      <w:r>
        <w:rPr>
          <w:rFonts w:ascii="Times New Roman" w:hAnsi="Times New Roman"/>
        </w:rPr>
        <w:t>1060</w:t>
      </w:r>
      <w:r w:rsidR="00D97C25">
        <w:rPr>
          <w:rFonts w:ascii="Times New Roman" w:hAnsi="Times New Roman"/>
        </w:rPr>
        <w:t xml:space="preserve">, z </w:t>
      </w:r>
      <w:proofErr w:type="spellStart"/>
      <w:r w:rsidR="00D97C25">
        <w:rPr>
          <w:rFonts w:ascii="Times New Roman" w:hAnsi="Times New Roman"/>
        </w:rPr>
        <w:t>późn</w:t>
      </w:r>
      <w:proofErr w:type="spellEnd"/>
      <w:r w:rsidR="00D97C25">
        <w:rPr>
          <w:rFonts w:ascii="Times New Roman" w:hAnsi="Times New Roman"/>
        </w:rPr>
        <w:t>. zm.</w:t>
      </w:r>
      <w:r>
        <w:rPr>
          <w:rFonts w:ascii="Times New Roman" w:hAnsi="Times New Roman"/>
        </w:rPr>
        <w:t xml:space="preserve">). Warto dodać, że fundusze </w:t>
      </w:r>
      <w:r w:rsidRPr="008D3B9B">
        <w:rPr>
          <w:rFonts w:ascii="Times New Roman" w:hAnsi="Times New Roman"/>
        </w:rPr>
        <w:t>w BGK mają już obecnie ograniczone formy loko</w:t>
      </w:r>
      <w:r>
        <w:rPr>
          <w:rFonts w:ascii="Times New Roman" w:hAnsi="Times New Roman"/>
        </w:rPr>
        <w:t xml:space="preserve">wania wolnych środków (np. mogą </w:t>
      </w:r>
      <w:r w:rsidRPr="008D3B9B">
        <w:rPr>
          <w:rFonts w:ascii="Times New Roman" w:hAnsi="Times New Roman"/>
        </w:rPr>
        <w:t>dokonywać lokat w bankach, skarbowe papiery wartościowe, papiery emitowane przez NBP</w:t>
      </w:r>
      <w:r w:rsidR="00D97C25">
        <w:rPr>
          <w:rFonts w:ascii="Times New Roman" w:hAnsi="Times New Roman"/>
        </w:rPr>
        <w:t xml:space="preserve"> </w:t>
      </w:r>
      <w:r w:rsidRPr="008D3B9B">
        <w:rPr>
          <w:rFonts w:ascii="Times New Roman" w:hAnsi="Times New Roman"/>
        </w:rPr>
        <w:t>oraz depozyt u Ministra Finansów).</w:t>
      </w:r>
    </w:p>
    <w:p w14:paraId="2D1D4FB8" w14:textId="77777777" w:rsidR="00216961" w:rsidRPr="008E5FB3" w:rsidRDefault="00216961" w:rsidP="00713591">
      <w:pPr>
        <w:spacing w:line="276" w:lineRule="auto"/>
        <w:jc w:val="both"/>
        <w:rPr>
          <w:rFonts w:ascii="Times New Roman" w:hAnsi="Times New Roman"/>
          <w:b/>
          <w:i/>
        </w:rPr>
      </w:pPr>
    </w:p>
    <w:p w14:paraId="5888211B" w14:textId="4B0A936E" w:rsidR="00216961" w:rsidRPr="008E5FB3" w:rsidRDefault="00216961" w:rsidP="00713591">
      <w:pPr>
        <w:spacing w:line="276" w:lineRule="auto"/>
        <w:jc w:val="both"/>
        <w:rPr>
          <w:rFonts w:ascii="Times New Roman" w:hAnsi="Times New Roman"/>
          <w:b/>
          <w:i/>
        </w:rPr>
      </w:pPr>
      <w:r w:rsidRPr="008E5FB3">
        <w:rPr>
          <w:rFonts w:ascii="Times New Roman" w:hAnsi="Times New Roman"/>
          <w:b/>
          <w:i/>
        </w:rPr>
        <w:t>zmiana w art. 78e</w:t>
      </w:r>
      <w:r w:rsidR="001621E8">
        <w:rPr>
          <w:rFonts w:ascii="Times New Roman" w:hAnsi="Times New Roman"/>
          <w:b/>
          <w:i/>
        </w:rPr>
        <w:t>, dodanie ust. 2a i 2b i zmiana ust. 3</w:t>
      </w:r>
    </w:p>
    <w:p w14:paraId="796AEBC9" w14:textId="77777777" w:rsidR="00216961" w:rsidRPr="008E5FB3" w:rsidRDefault="00216961" w:rsidP="00713591">
      <w:pPr>
        <w:spacing w:line="276" w:lineRule="auto"/>
        <w:jc w:val="both"/>
        <w:rPr>
          <w:rFonts w:ascii="Times New Roman" w:hAnsi="Times New Roman"/>
          <w:b/>
          <w:i/>
        </w:rPr>
      </w:pPr>
    </w:p>
    <w:p w14:paraId="15E47C34" w14:textId="6FC6C56A" w:rsidR="00216961" w:rsidRDefault="00216961" w:rsidP="00713591">
      <w:pPr>
        <w:spacing w:line="276" w:lineRule="auto"/>
        <w:jc w:val="both"/>
        <w:rPr>
          <w:rFonts w:ascii="Times New Roman" w:hAnsi="Times New Roman"/>
        </w:rPr>
      </w:pPr>
      <w:r w:rsidRPr="008E5FB3">
        <w:rPr>
          <w:rFonts w:ascii="Times New Roman" w:hAnsi="Times New Roman"/>
        </w:rPr>
        <w:t xml:space="preserve">W przedmiotowym artykule zaproponowano zmianę w zakresie oprocentowania depozytów i środków przyjmowanych w zarządzanie. Oprocentowanie depozytów u Ministra Finansów jest uzależnione od stóp procentowanych ustalanych na rynku międzybankowym (WIBID) oraz stopy depozytowej Narodowego Banku Polskiego. W przypadku wprowadzenia przez Radę Polityki Pieniężnej ujemnej stopy depozytowej </w:t>
      </w:r>
      <w:r w:rsidR="00EE01DA">
        <w:rPr>
          <w:rFonts w:ascii="Times New Roman" w:hAnsi="Times New Roman"/>
        </w:rPr>
        <w:t>NBP</w:t>
      </w:r>
      <w:r w:rsidRPr="008E5FB3">
        <w:rPr>
          <w:rFonts w:ascii="Times New Roman" w:hAnsi="Times New Roman"/>
        </w:rPr>
        <w:t xml:space="preserve"> lub występowania ujemnych wartości stawek WIBID konieczne jest wprowadzenie możliwości stosowania ujemnego oprocentowania środków przyjętych w depozyt lub zarządzanie przez Ministra Finansów.</w:t>
      </w:r>
    </w:p>
    <w:p w14:paraId="5BC330EC" w14:textId="77777777" w:rsidR="002F1532" w:rsidRPr="008E5FB3" w:rsidRDefault="002F1532" w:rsidP="00713591">
      <w:pPr>
        <w:spacing w:line="276" w:lineRule="auto"/>
        <w:jc w:val="both"/>
        <w:rPr>
          <w:rFonts w:ascii="Times New Roman" w:hAnsi="Times New Roman"/>
        </w:rPr>
      </w:pPr>
    </w:p>
    <w:p w14:paraId="797D85DE" w14:textId="3512DBFE" w:rsidR="00216961" w:rsidRDefault="00216961" w:rsidP="00713591">
      <w:pPr>
        <w:spacing w:line="276" w:lineRule="auto"/>
        <w:jc w:val="both"/>
        <w:rPr>
          <w:rFonts w:ascii="Times New Roman" w:hAnsi="Times New Roman"/>
        </w:rPr>
      </w:pPr>
      <w:r w:rsidRPr="008E5FB3">
        <w:rPr>
          <w:rFonts w:ascii="Times New Roman" w:hAnsi="Times New Roman"/>
        </w:rPr>
        <w:t xml:space="preserve">Biorąc pod uwagę, że przepisy ustawy o finansach publicznych przewidują </w:t>
      </w:r>
      <w:r w:rsidR="00EE01DA" w:rsidRPr="008E5FB3">
        <w:rPr>
          <w:rFonts w:ascii="Times New Roman" w:hAnsi="Times New Roman"/>
        </w:rPr>
        <w:t xml:space="preserve">wypłatę odsetek </w:t>
      </w:r>
      <w:r w:rsidRPr="008E5FB3">
        <w:rPr>
          <w:rFonts w:ascii="Times New Roman" w:hAnsi="Times New Roman"/>
        </w:rPr>
        <w:t>w</w:t>
      </w:r>
      <w:r w:rsidR="00EE01DA">
        <w:rPr>
          <w:rFonts w:ascii="Times New Roman" w:hAnsi="Times New Roman"/>
        </w:rPr>
        <w:t> </w:t>
      </w:r>
      <w:r w:rsidRPr="008E5FB3">
        <w:rPr>
          <w:rFonts w:ascii="Times New Roman" w:hAnsi="Times New Roman"/>
        </w:rPr>
        <w:t>zakresie depozytów u Ministra Finansów czy środków oddanych w zarządzanie, konieczne staje się również wprowadzenie możliwości pobierania odset</w:t>
      </w:r>
      <w:r w:rsidR="005C1559">
        <w:rPr>
          <w:rFonts w:ascii="Times New Roman" w:hAnsi="Times New Roman"/>
        </w:rPr>
        <w:t>ek na rzecz Ministra Finansów w </w:t>
      </w:r>
      <w:r w:rsidRPr="008E5FB3">
        <w:rPr>
          <w:rFonts w:ascii="Times New Roman" w:hAnsi="Times New Roman"/>
        </w:rPr>
        <w:t>przypadku ujemnego oprocentowania (spełnia</w:t>
      </w:r>
      <w:r w:rsidR="005C1559">
        <w:rPr>
          <w:rFonts w:ascii="Times New Roman" w:hAnsi="Times New Roman"/>
        </w:rPr>
        <w:t xml:space="preserve">jących w istocie funkcję opłaty </w:t>
      </w:r>
      <w:r w:rsidRPr="008E5FB3">
        <w:rPr>
          <w:rFonts w:ascii="Times New Roman" w:hAnsi="Times New Roman"/>
        </w:rPr>
        <w:t>za przechowywanie środków). Tego typu wynagrodzenie powinno mieć swoje źródło w</w:t>
      </w:r>
      <w:r w:rsidR="00EE01DA">
        <w:rPr>
          <w:rFonts w:ascii="Times New Roman" w:hAnsi="Times New Roman"/>
        </w:rPr>
        <w:t> </w:t>
      </w:r>
      <w:r w:rsidRPr="008E5FB3">
        <w:rPr>
          <w:rFonts w:ascii="Times New Roman" w:hAnsi="Times New Roman"/>
        </w:rPr>
        <w:t>ustawie i tym samym w treści umów zawartych z jednostkami. Brak przedmiotowej regulacji może prowadzić, w warunkach występowania ujemnej stopy procentowej, do wykonywania przez Ministra Finansów działalności powyżej ponoszonych kosztów, co powodowałoby negatywne skutki dla budżetu państwa.</w:t>
      </w:r>
    </w:p>
    <w:p w14:paraId="6A38AF70" w14:textId="77777777" w:rsidR="002F1532" w:rsidRPr="008E5FB3" w:rsidRDefault="002F1532" w:rsidP="00713591">
      <w:pPr>
        <w:spacing w:line="276" w:lineRule="auto"/>
        <w:jc w:val="both"/>
        <w:rPr>
          <w:rFonts w:ascii="Times New Roman" w:hAnsi="Times New Roman"/>
        </w:rPr>
      </w:pPr>
    </w:p>
    <w:p w14:paraId="5F859194" w14:textId="77777777" w:rsidR="00216961" w:rsidRDefault="00216961" w:rsidP="00713591">
      <w:pPr>
        <w:spacing w:line="276" w:lineRule="auto"/>
        <w:jc w:val="both"/>
        <w:rPr>
          <w:rFonts w:ascii="Times New Roman" w:hAnsi="Times New Roman"/>
        </w:rPr>
      </w:pPr>
      <w:r w:rsidRPr="008E5FB3">
        <w:rPr>
          <w:rFonts w:ascii="Times New Roman" w:hAnsi="Times New Roman"/>
        </w:rPr>
        <w:t>Aktualnie brak jest przepisów prawnych oraz stanowisk czy decyzji polskich organów nadzoru lub orzeczeń sądów wyraźnie stwierdzających niedopuszczalność zastrzeżenia ujemnego oprocentowania środków w odniesieniu do tego typu depozytów.</w:t>
      </w:r>
    </w:p>
    <w:p w14:paraId="742E99F4" w14:textId="77777777" w:rsidR="00225EF3" w:rsidRPr="008E5FB3" w:rsidRDefault="00225EF3" w:rsidP="00713591">
      <w:pPr>
        <w:spacing w:line="276" w:lineRule="auto"/>
        <w:jc w:val="both"/>
        <w:rPr>
          <w:rFonts w:ascii="Times New Roman" w:hAnsi="Times New Roman"/>
        </w:rPr>
      </w:pPr>
    </w:p>
    <w:p w14:paraId="222EC564" w14:textId="29609A86" w:rsidR="00216961" w:rsidRDefault="00216961" w:rsidP="00713591">
      <w:pPr>
        <w:spacing w:line="276" w:lineRule="auto"/>
        <w:jc w:val="both"/>
        <w:rPr>
          <w:rFonts w:ascii="Times New Roman" w:hAnsi="Times New Roman"/>
        </w:rPr>
      </w:pPr>
      <w:r w:rsidRPr="008E5FB3">
        <w:rPr>
          <w:rFonts w:ascii="Times New Roman" w:hAnsi="Times New Roman"/>
        </w:rPr>
        <w:t>Wprowadzenie ujemnego oprocentowania, ze względu na brak rozstrzygnięć w orzecznictwie  czy jednolitego poglądu w doktrynie, wymaga  wyraźnych podstaw prawnych, aby nie narażać Skarb</w:t>
      </w:r>
      <w:r w:rsidR="00B103CB">
        <w:rPr>
          <w:rFonts w:ascii="Times New Roman" w:hAnsi="Times New Roman"/>
        </w:rPr>
        <w:t>u</w:t>
      </w:r>
      <w:r w:rsidRPr="008E5FB3">
        <w:rPr>
          <w:rFonts w:ascii="Times New Roman" w:hAnsi="Times New Roman"/>
        </w:rPr>
        <w:t xml:space="preserve"> Państwa na ewentualne procesy odszkodowawcze. Wynika to głównie z faktu, że ujemne oprocentowanie oznacza zmianę wektora płatności. Zmiana powinna być jednoznaczna i nie powinna budzić wątpliwości co do kierunku płatności, tj. czy na rzecz posiadacza rachunku czy Ministra Finansów, oraz sposobu ich obliczania. </w:t>
      </w:r>
    </w:p>
    <w:p w14:paraId="08A93EC4" w14:textId="77777777" w:rsidR="002F1532" w:rsidRPr="008E5FB3" w:rsidRDefault="002F1532" w:rsidP="00713591">
      <w:pPr>
        <w:spacing w:line="276" w:lineRule="auto"/>
        <w:jc w:val="both"/>
        <w:rPr>
          <w:rFonts w:ascii="Times New Roman" w:hAnsi="Times New Roman"/>
        </w:rPr>
      </w:pPr>
    </w:p>
    <w:p w14:paraId="77575302" w14:textId="78321662" w:rsidR="00216961" w:rsidRDefault="00216961" w:rsidP="00713591">
      <w:pPr>
        <w:spacing w:line="276" w:lineRule="auto"/>
        <w:jc w:val="both"/>
        <w:rPr>
          <w:rFonts w:ascii="Times New Roman" w:hAnsi="Times New Roman"/>
        </w:rPr>
      </w:pPr>
      <w:r w:rsidRPr="008E5FB3">
        <w:rPr>
          <w:rFonts w:ascii="Times New Roman" w:hAnsi="Times New Roman"/>
        </w:rPr>
        <w:t xml:space="preserve">W przypadku, gdyby wysokość stopy depozytowej NBP czy stawek WIBID – stanowiących podstawę do ustalenia oprocentowania dla depozytu czy środków przyjmowanych </w:t>
      </w:r>
      <w:r w:rsidRPr="008E5FB3">
        <w:rPr>
          <w:rFonts w:ascii="Times New Roman" w:hAnsi="Times New Roman"/>
        </w:rPr>
        <w:lastRenderedPageBreak/>
        <w:t xml:space="preserve">w zarządzanie były ujemne, Minister Finansów mógłby pobierać z tytułu przechowywania odsetki od sum pieniężnych złożonych w ramach depozytu czy w zarządzanie w wysokości wynikającej z tych stóp procentowych. W takim przypadku w momencie zwrotu środków jednostce pobierane byłyby na rzecz Ministra Finansów odsetki od kwoty przekazanych wolnych środków przyjętych w depozyt lub zarządzanie. Odsetki na rzecz Ministra Finansów byłyby pobierane z rachunku, na który </w:t>
      </w:r>
      <w:r w:rsidR="00EE01DA" w:rsidRPr="008E5FB3">
        <w:rPr>
          <w:rFonts w:ascii="Times New Roman" w:hAnsi="Times New Roman"/>
        </w:rPr>
        <w:t xml:space="preserve">byłyby </w:t>
      </w:r>
      <w:r w:rsidRPr="008E5FB3">
        <w:rPr>
          <w:rFonts w:ascii="Times New Roman" w:hAnsi="Times New Roman"/>
        </w:rPr>
        <w:t>zwracane środki i z kwoty postawionej do dyspozycji jednostki.</w:t>
      </w:r>
    </w:p>
    <w:p w14:paraId="5FD99874" w14:textId="77777777" w:rsidR="002F1532" w:rsidRPr="008E5FB3" w:rsidRDefault="002F1532" w:rsidP="00713591">
      <w:pPr>
        <w:spacing w:line="276" w:lineRule="auto"/>
        <w:jc w:val="both"/>
        <w:rPr>
          <w:rFonts w:ascii="Times New Roman" w:hAnsi="Times New Roman"/>
        </w:rPr>
      </w:pPr>
    </w:p>
    <w:p w14:paraId="6C187114" w14:textId="77777777" w:rsidR="00216961" w:rsidRPr="008E5FB3" w:rsidRDefault="00216961" w:rsidP="00713591">
      <w:pPr>
        <w:spacing w:line="276" w:lineRule="auto"/>
        <w:jc w:val="both"/>
        <w:rPr>
          <w:rFonts w:ascii="Times New Roman" w:hAnsi="Times New Roman"/>
        </w:rPr>
      </w:pPr>
      <w:r w:rsidRPr="008E5FB3">
        <w:rPr>
          <w:rFonts w:ascii="Times New Roman" w:hAnsi="Times New Roman"/>
        </w:rPr>
        <w:t>Obecnie, w sytuacji dodatniego oprocentowania, w przypadku rozwiązania depozytu lub zwrotu środków przekazanych w zarządzanie przed upływem terminu, na jaki został utworzony depozyt lub środki zostały przekazane w zarządzanie, odsetki na rzecz jednostki nie przysługują. Jednakże, w przypadku, gdyby występowało ujemne oprocentowanie, pobierane byłyby odsetki na rzecz Ministra Finansów w wysokości równej ilorazowi iloczynu kwoty depozytu lub środków przekazanych w zarządzanie, bezwzględnej wartości ujemnej stopy procentowej, faktycznej liczby dni utrzymywania depozytu oraz liczby dni 365.</w:t>
      </w:r>
    </w:p>
    <w:p w14:paraId="00B70820" w14:textId="77777777" w:rsidR="00216961" w:rsidRPr="008E5FB3" w:rsidRDefault="00216961" w:rsidP="00713591">
      <w:pPr>
        <w:spacing w:line="276" w:lineRule="auto"/>
        <w:jc w:val="both"/>
        <w:rPr>
          <w:rFonts w:ascii="Times New Roman" w:hAnsi="Times New Roman"/>
        </w:rPr>
      </w:pPr>
    </w:p>
    <w:p w14:paraId="08BF70D8" w14:textId="29882EB5" w:rsidR="00216961" w:rsidRPr="008E5FB3" w:rsidRDefault="00216961" w:rsidP="00713591">
      <w:pPr>
        <w:spacing w:line="276" w:lineRule="auto"/>
        <w:jc w:val="both"/>
        <w:rPr>
          <w:rFonts w:ascii="Times New Roman" w:hAnsi="Times New Roman"/>
          <w:b/>
          <w:i/>
        </w:rPr>
      </w:pPr>
      <w:r w:rsidRPr="008E5FB3">
        <w:rPr>
          <w:rFonts w:ascii="Times New Roman" w:hAnsi="Times New Roman"/>
          <w:b/>
          <w:i/>
        </w:rPr>
        <w:t>zmiana w art. 81 ust. 1</w:t>
      </w:r>
    </w:p>
    <w:p w14:paraId="3358D14F" w14:textId="6874913F" w:rsidR="00216961" w:rsidRPr="008E5FB3" w:rsidRDefault="00216961" w:rsidP="00713591">
      <w:pPr>
        <w:spacing w:line="276" w:lineRule="auto"/>
        <w:jc w:val="both"/>
        <w:rPr>
          <w:rFonts w:ascii="Times New Roman" w:hAnsi="Times New Roman"/>
          <w:b/>
          <w:i/>
        </w:rPr>
      </w:pPr>
    </w:p>
    <w:p w14:paraId="0702C5A6" w14:textId="39345D2D" w:rsidR="00300A11" w:rsidRPr="008E5FB3" w:rsidRDefault="00216961" w:rsidP="00713591">
      <w:pPr>
        <w:spacing w:line="276" w:lineRule="auto"/>
        <w:jc w:val="both"/>
        <w:rPr>
          <w:rFonts w:ascii="Times New Roman" w:hAnsi="Times New Roman"/>
        </w:rPr>
      </w:pPr>
      <w:r w:rsidRPr="008E5FB3">
        <w:rPr>
          <w:rFonts w:ascii="Times New Roman" w:hAnsi="Times New Roman"/>
        </w:rPr>
        <w:t xml:space="preserve">Zmiana </w:t>
      </w:r>
      <w:r w:rsidR="006D1D8E">
        <w:rPr>
          <w:rFonts w:ascii="Times New Roman" w:hAnsi="Times New Roman"/>
        </w:rPr>
        <w:t>przewiduje zastąpienie</w:t>
      </w:r>
      <w:r w:rsidRPr="008E5FB3">
        <w:rPr>
          <w:rFonts w:ascii="Times New Roman" w:hAnsi="Times New Roman"/>
        </w:rPr>
        <w:t xml:space="preserve"> wyrazów „Wspólnoty Europejskiej” wyrazami „Unii Europejskiej”.</w:t>
      </w:r>
    </w:p>
    <w:p w14:paraId="6B5E859D" w14:textId="77777777" w:rsidR="00216961" w:rsidRPr="008E5FB3" w:rsidRDefault="00216961" w:rsidP="00713591">
      <w:pPr>
        <w:spacing w:line="276" w:lineRule="auto"/>
        <w:jc w:val="both"/>
        <w:rPr>
          <w:rFonts w:ascii="Times New Roman" w:hAnsi="Times New Roman"/>
        </w:rPr>
      </w:pPr>
    </w:p>
    <w:p w14:paraId="2438CD26" w14:textId="53E5BBD5" w:rsidR="00216961" w:rsidRPr="008E5FB3" w:rsidRDefault="00216961" w:rsidP="00713591">
      <w:pPr>
        <w:spacing w:line="276" w:lineRule="auto"/>
        <w:jc w:val="both"/>
        <w:rPr>
          <w:rFonts w:ascii="Times New Roman" w:hAnsi="Times New Roman"/>
          <w:b/>
          <w:i/>
        </w:rPr>
      </w:pPr>
      <w:r w:rsidRPr="008E5FB3">
        <w:rPr>
          <w:rFonts w:ascii="Times New Roman" w:hAnsi="Times New Roman"/>
          <w:b/>
          <w:i/>
        </w:rPr>
        <w:t>zmiana w art. 83 ust.</w:t>
      </w:r>
      <w:r w:rsidR="004B0A66">
        <w:rPr>
          <w:rFonts w:ascii="Times New Roman" w:hAnsi="Times New Roman"/>
          <w:b/>
          <w:i/>
        </w:rPr>
        <w:t xml:space="preserve"> 1 i</w:t>
      </w:r>
      <w:r w:rsidRPr="008E5FB3">
        <w:rPr>
          <w:rFonts w:ascii="Times New Roman" w:hAnsi="Times New Roman"/>
          <w:b/>
          <w:i/>
        </w:rPr>
        <w:t xml:space="preserve"> 3</w:t>
      </w:r>
    </w:p>
    <w:p w14:paraId="3223010C" w14:textId="77777777" w:rsidR="00216961" w:rsidRDefault="00216961" w:rsidP="00713591">
      <w:pPr>
        <w:spacing w:line="276" w:lineRule="auto"/>
        <w:jc w:val="both"/>
        <w:rPr>
          <w:rFonts w:ascii="Times New Roman" w:hAnsi="Times New Roman"/>
        </w:rPr>
      </w:pPr>
    </w:p>
    <w:p w14:paraId="537F292C" w14:textId="4F714125" w:rsidR="004B0A66" w:rsidRPr="008E5FB3" w:rsidRDefault="004B0A66" w:rsidP="00713591">
      <w:pPr>
        <w:spacing w:line="276" w:lineRule="auto"/>
        <w:jc w:val="both"/>
        <w:rPr>
          <w:rFonts w:ascii="Times New Roman" w:hAnsi="Times New Roman"/>
        </w:rPr>
      </w:pPr>
      <w:r w:rsidRPr="004B0A66">
        <w:rPr>
          <w:rFonts w:ascii="Times New Roman" w:hAnsi="Times New Roman"/>
        </w:rPr>
        <w:t xml:space="preserve">Zmiana w art. 83 ust. 1 ma na celu </w:t>
      </w:r>
      <w:proofErr w:type="spellStart"/>
      <w:r w:rsidRPr="004B0A66">
        <w:rPr>
          <w:rFonts w:ascii="Times New Roman" w:hAnsi="Times New Roman"/>
        </w:rPr>
        <w:t>uspójnienie</w:t>
      </w:r>
      <w:proofErr w:type="spellEnd"/>
      <w:r w:rsidRPr="004B0A66">
        <w:rPr>
          <w:rFonts w:ascii="Times New Roman" w:hAnsi="Times New Roman"/>
        </w:rPr>
        <w:t xml:space="preserve"> tego przepisu z art. 77 i art. 78, w szczególności z art. 78 ust. 2. Art. 83 ust. 1 dotyczy lokat sensu stricto stanowiących formę lokat terminowych na rachunkach bankowych. Art. 78 przewiduje także inne formy lokowania w ramach zarządzania długiem Skarbu Państwa. Rozwój instrumentarium finansowego w ramach zarządzania długiem wymusza lokowanie w innych formach niż tradycyjn</w:t>
      </w:r>
      <w:r w:rsidR="006D1D8E">
        <w:rPr>
          <w:rFonts w:ascii="Times New Roman" w:hAnsi="Times New Roman"/>
        </w:rPr>
        <w:t>e</w:t>
      </w:r>
      <w:r w:rsidRPr="004B0A66">
        <w:rPr>
          <w:rFonts w:ascii="Times New Roman" w:hAnsi="Times New Roman"/>
        </w:rPr>
        <w:t>, które  odbywa się w formie lokat w bankach. Z tych względów zaproponowano zmianę art. 83, który generalnie będzie stanowił o lokowaniu środków pieniężnych.</w:t>
      </w:r>
    </w:p>
    <w:p w14:paraId="03EC05D3" w14:textId="79CAA274" w:rsidR="00216961" w:rsidRDefault="00216961" w:rsidP="00713591">
      <w:pPr>
        <w:spacing w:line="276" w:lineRule="auto"/>
        <w:jc w:val="both"/>
        <w:rPr>
          <w:rFonts w:ascii="Times New Roman" w:hAnsi="Times New Roman"/>
        </w:rPr>
      </w:pPr>
      <w:r w:rsidRPr="008E5FB3">
        <w:rPr>
          <w:rFonts w:ascii="Times New Roman" w:hAnsi="Times New Roman"/>
        </w:rPr>
        <w:t>Projektowana zmiana w art. 83 ust. 3</w:t>
      </w:r>
      <w:r w:rsidR="004B0A66">
        <w:rPr>
          <w:rFonts w:ascii="Times New Roman" w:hAnsi="Times New Roman"/>
        </w:rPr>
        <w:t xml:space="preserve"> dotyczy</w:t>
      </w:r>
      <w:r w:rsidRPr="008E5FB3">
        <w:rPr>
          <w:rFonts w:ascii="Times New Roman" w:hAnsi="Times New Roman"/>
        </w:rPr>
        <w:t xml:space="preserve"> możliwości wykorzystania środków wnoszonych jako zabezpieczenie transakcji pochodnych do finansowania potrzeb pożyczkowych budżetu państwa.</w:t>
      </w:r>
    </w:p>
    <w:p w14:paraId="0F201D8C" w14:textId="77777777" w:rsidR="00B31A54" w:rsidRDefault="00B31A54" w:rsidP="00713591">
      <w:pPr>
        <w:spacing w:line="276" w:lineRule="auto"/>
        <w:jc w:val="both"/>
        <w:rPr>
          <w:rFonts w:ascii="Times New Roman" w:hAnsi="Times New Roman"/>
        </w:rPr>
      </w:pPr>
    </w:p>
    <w:p w14:paraId="5E1A4472" w14:textId="24F82F9C" w:rsidR="00B31A54" w:rsidRPr="00300A11" w:rsidRDefault="00B31A54" w:rsidP="00713591">
      <w:pPr>
        <w:spacing w:line="276" w:lineRule="auto"/>
        <w:jc w:val="both"/>
        <w:rPr>
          <w:rFonts w:ascii="Times New Roman" w:hAnsi="Times New Roman"/>
          <w:b/>
          <w:i/>
        </w:rPr>
      </w:pPr>
      <w:r w:rsidRPr="00300A11">
        <w:rPr>
          <w:rFonts w:ascii="Times New Roman" w:hAnsi="Times New Roman"/>
          <w:b/>
          <w:i/>
        </w:rPr>
        <w:t>zmiana w art. 84</w:t>
      </w:r>
    </w:p>
    <w:p w14:paraId="049F8AC7" w14:textId="77777777" w:rsidR="00B31A54" w:rsidRDefault="00B31A54" w:rsidP="00713591">
      <w:pPr>
        <w:spacing w:line="276" w:lineRule="auto"/>
        <w:jc w:val="both"/>
        <w:rPr>
          <w:rFonts w:ascii="Times New Roman" w:hAnsi="Times New Roman"/>
        </w:rPr>
      </w:pPr>
    </w:p>
    <w:p w14:paraId="2AADD4A9" w14:textId="5186305C" w:rsidR="00B31A54" w:rsidRPr="008E5FB3" w:rsidRDefault="00B31A54" w:rsidP="00713591">
      <w:pPr>
        <w:spacing w:line="276" w:lineRule="auto"/>
        <w:jc w:val="both"/>
        <w:rPr>
          <w:rFonts w:ascii="Times New Roman" w:hAnsi="Times New Roman"/>
        </w:rPr>
      </w:pPr>
      <w:r w:rsidRPr="00B31A54">
        <w:rPr>
          <w:rFonts w:ascii="Times New Roman" w:hAnsi="Times New Roman"/>
        </w:rPr>
        <w:t xml:space="preserve">W związku z wejściem w życie z 1 lipca </w:t>
      </w:r>
      <w:r w:rsidR="006D1D8E">
        <w:rPr>
          <w:rFonts w:ascii="Times New Roman" w:hAnsi="Times New Roman"/>
        </w:rPr>
        <w:t>2021 r.</w:t>
      </w:r>
      <w:r w:rsidRPr="00B31A54">
        <w:rPr>
          <w:rFonts w:ascii="Times New Roman" w:hAnsi="Times New Roman"/>
        </w:rPr>
        <w:t xml:space="preserve"> zmian do ustawy o finansach publicznych wprowadzonych ustawą z dnia 14 października 2021 r. </w:t>
      </w:r>
      <w:r w:rsidRPr="00FB28B4">
        <w:rPr>
          <w:rFonts w:ascii="Times New Roman" w:hAnsi="Times New Roman"/>
          <w:i/>
        </w:rPr>
        <w:t xml:space="preserve">o zmianie ustawy </w:t>
      </w:r>
      <w:r w:rsidR="00D97C25" w:rsidRPr="00FB28B4">
        <w:rPr>
          <w:rFonts w:ascii="Times New Roman" w:hAnsi="Times New Roman"/>
          <w:i/>
        </w:rPr>
        <w:t>–</w:t>
      </w:r>
      <w:r w:rsidRPr="00FB28B4">
        <w:rPr>
          <w:rFonts w:ascii="Times New Roman" w:hAnsi="Times New Roman"/>
          <w:i/>
        </w:rPr>
        <w:t xml:space="preserve"> Kodeks karny oraz niektórych innych ustaw </w:t>
      </w:r>
      <w:r w:rsidRPr="00B31A54">
        <w:rPr>
          <w:rFonts w:ascii="Times New Roman" w:hAnsi="Times New Roman"/>
        </w:rPr>
        <w:t>(Dz. U. poz. 2054) w zakresie rejestru umów, który ma być utworzony na podstawie art. 34a u</w:t>
      </w:r>
      <w:r w:rsidR="00300A11">
        <w:rPr>
          <w:rFonts w:ascii="Times New Roman" w:hAnsi="Times New Roman"/>
        </w:rPr>
        <w:t xml:space="preserve">stawy </w:t>
      </w:r>
      <w:r w:rsidRPr="00B31A54">
        <w:rPr>
          <w:rFonts w:ascii="Times New Roman" w:hAnsi="Times New Roman"/>
        </w:rPr>
        <w:t>o</w:t>
      </w:r>
      <w:r w:rsidR="00300A11">
        <w:rPr>
          <w:rFonts w:ascii="Times New Roman" w:hAnsi="Times New Roman"/>
        </w:rPr>
        <w:t xml:space="preserve"> </w:t>
      </w:r>
      <w:r w:rsidRPr="00B31A54">
        <w:rPr>
          <w:rFonts w:ascii="Times New Roman" w:hAnsi="Times New Roman"/>
        </w:rPr>
        <w:t>f</w:t>
      </w:r>
      <w:r w:rsidR="00300A11">
        <w:rPr>
          <w:rFonts w:ascii="Times New Roman" w:hAnsi="Times New Roman"/>
        </w:rPr>
        <w:t xml:space="preserve">inansach </w:t>
      </w:r>
      <w:r w:rsidRPr="00B31A54">
        <w:rPr>
          <w:rFonts w:ascii="Times New Roman" w:hAnsi="Times New Roman"/>
        </w:rPr>
        <w:t>p</w:t>
      </w:r>
      <w:r w:rsidR="00300A11">
        <w:rPr>
          <w:rFonts w:ascii="Times New Roman" w:hAnsi="Times New Roman"/>
        </w:rPr>
        <w:t>ublicznych</w:t>
      </w:r>
      <w:r w:rsidRPr="00B31A54">
        <w:rPr>
          <w:rFonts w:ascii="Times New Roman" w:hAnsi="Times New Roman"/>
        </w:rPr>
        <w:t>, stosowanie tego artykuł</w:t>
      </w:r>
      <w:r>
        <w:rPr>
          <w:rFonts w:ascii="Times New Roman" w:hAnsi="Times New Roman"/>
        </w:rPr>
        <w:t>u będzie bardzo utrudnione, a w </w:t>
      </w:r>
      <w:r w:rsidRPr="00B31A54">
        <w:rPr>
          <w:rFonts w:ascii="Times New Roman" w:hAnsi="Times New Roman"/>
        </w:rPr>
        <w:t>wielu przypadkach wręcz ni</w:t>
      </w:r>
      <w:r w:rsidR="005C1559">
        <w:rPr>
          <w:rFonts w:ascii="Times New Roman" w:hAnsi="Times New Roman"/>
        </w:rPr>
        <w:t>emożliwe w terminie wskazanym w </w:t>
      </w:r>
      <w:r w:rsidRPr="00B31A54">
        <w:rPr>
          <w:rFonts w:ascii="Times New Roman" w:hAnsi="Times New Roman"/>
        </w:rPr>
        <w:t>tym artykule</w:t>
      </w:r>
      <w:r w:rsidR="00300A11">
        <w:rPr>
          <w:rFonts w:ascii="Times New Roman" w:hAnsi="Times New Roman"/>
        </w:rPr>
        <w:t>,</w:t>
      </w:r>
      <w:r w:rsidRPr="00B31A54">
        <w:rPr>
          <w:rFonts w:ascii="Times New Roman" w:hAnsi="Times New Roman"/>
        </w:rPr>
        <w:t xml:space="preserve"> w zakresie operacji finansowych dokonywanych w ramach zarządzania długiem Skarbu Państwa. </w:t>
      </w:r>
      <w:r w:rsidR="00300A11">
        <w:rPr>
          <w:rFonts w:ascii="Times New Roman" w:hAnsi="Times New Roman"/>
        </w:rPr>
        <w:t>C</w:t>
      </w:r>
      <w:r w:rsidRPr="00B31A54">
        <w:rPr>
          <w:rFonts w:ascii="Times New Roman" w:hAnsi="Times New Roman"/>
        </w:rPr>
        <w:t xml:space="preserve">zęsto dane o transakcjach zawieranych przez Skarb Państwa podawane są z opóźnieniem, ze względu na możliwe niepożądane reakcje na rynku finansowym. Ponadto </w:t>
      </w:r>
      <w:r w:rsidRPr="00B31A54">
        <w:rPr>
          <w:rFonts w:ascii="Times New Roman" w:hAnsi="Times New Roman"/>
        </w:rPr>
        <w:lastRenderedPageBreak/>
        <w:t>liczba umów dotyczących lokat, czy też transakcji pochodnych, które są dokonywane na podstawie umów ramowych, jest zn</w:t>
      </w:r>
      <w:r>
        <w:rPr>
          <w:rFonts w:ascii="Times New Roman" w:hAnsi="Times New Roman"/>
        </w:rPr>
        <w:t>aczna np. codziennie zawiązywan</w:t>
      </w:r>
      <w:r w:rsidRPr="00B31A54">
        <w:rPr>
          <w:rFonts w:ascii="Times New Roman" w:hAnsi="Times New Roman"/>
        </w:rPr>
        <w:t>e są lokaty. Z punktu widzenia formalnoprawnego każda lokata to odrębna umowa. Podobnie przedstawia się sprawa sprzedaży skarbowych papierów wartościowych na przetargach, które są podstawowym trybem zawierania umów sprzedaży tych papierów wartościowych na rynku pierwotnym. Warto dodać, że m.in. ze wskazanych wyżej przy</w:t>
      </w:r>
      <w:r w:rsidR="005C1559">
        <w:rPr>
          <w:rFonts w:ascii="Times New Roman" w:hAnsi="Times New Roman"/>
        </w:rPr>
        <w:t>czyn dodano art. 3a w ustawie o </w:t>
      </w:r>
      <w:r w:rsidRPr="00B31A54">
        <w:rPr>
          <w:rFonts w:ascii="Times New Roman" w:hAnsi="Times New Roman"/>
        </w:rPr>
        <w:t>finansach publicznych, który wyłącza obligatoryjne występowanie przez Ministra Finansów o opinię do Prokuratorii Generalnej w zakresie operacji finansowych dotyczących długu Skarbu P</w:t>
      </w:r>
      <w:r>
        <w:rPr>
          <w:rFonts w:ascii="Times New Roman" w:hAnsi="Times New Roman"/>
        </w:rPr>
        <w:t xml:space="preserve">aństwa. </w:t>
      </w:r>
      <w:r w:rsidR="00300A11" w:rsidRPr="00300A11">
        <w:rPr>
          <w:rFonts w:ascii="Times New Roman" w:hAnsi="Times New Roman"/>
        </w:rPr>
        <w:t>Tym samym, wyłączenie zastosowania przedmiotowego artykułu jest zasadn</w:t>
      </w:r>
      <w:r w:rsidR="00300A11">
        <w:rPr>
          <w:rFonts w:ascii="Times New Roman" w:hAnsi="Times New Roman"/>
        </w:rPr>
        <w:t>e</w:t>
      </w:r>
      <w:r w:rsidR="00300A11" w:rsidRPr="00300A11">
        <w:rPr>
          <w:rFonts w:ascii="Times New Roman" w:hAnsi="Times New Roman"/>
        </w:rPr>
        <w:t>.</w:t>
      </w:r>
    </w:p>
    <w:p w14:paraId="10A828AD" w14:textId="77777777" w:rsidR="00216961" w:rsidRPr="008E5FB3" w:rsidRDefault="00216961" w:rsidP="00713591">
      <w:pPr>
        <w:spacing w:line="276" w:lineRule="auto"/>
        <w:jc w:val="both"/>
        <w:rPr>
          <w:rFonts w:ascii="Times New Roman" w:hAnsi="Times New Roman"/>
        </w:rPr>
      </w:pPr>
    </w:p>
    <w:p w14:paraId="1E2D3118" w14:textId="102F5DA8" w:rsidR="00216961" w:rsidRPr="008E5FB3" w:rsidRDefault="00216961" w:rsidP="00713591">
      <w:pPr>
        <w:spacing w:line="276" w:lineRule="auto"/>
        <w:jc w:val="both"/>
        <w:rPr>
          <w:rFonts w:ascii="Times New Roman" w:hAnsi="Times New Roman"/>
          <w:b/>
          <w:i/>
        </w:rPr>
      </w:pPr>
      <w:r w:rsidRPr="008E5FB3">
        <w:rPr>
          <w:rFonts w:ascii="Times New Roman" w:hAnsi="Times New Roman"/>
          <w:b/>
          <w:i/>
        </w:rPr>
        <w:t>zmiana w art. 95</w:t>
      </w:r>
      <w:r w:rsidR="001621E8">
        <w:rPr>
          <w:rFonts w:ascii="Times New Roman" w:hAnsi="Times New Roman"/>
          <w:b/>
          <w:i/>
        </w:rPr>
        <w:t>, uchylenie ust. 4 i zmiana ust. 5</w:t>
      </w:r>
      <w:r w:rsidRPr="008E5FB3">
        <w:rPr>
          <w:rFonts w:ascii="Times New Roman" w:hAnsi="Times New Roman"/>
          <w:b/>
          <w:i/>
        </w:rPr>
        <w:t xml:space="preserve"> </w:t>
      </w:r>
      <w:r w:rsidR="001621E8">
        <w:rPr>
          <w:rFonts w:ascii="Times New Roman" w:hAnsi="Times New Roman"/>
          <w:b/>
          <w:i/>
        </w:rPr>
        <w:t>oraz zmiana w art.</w:t>
      </w:r>
      <w:r w:rsidRPr="008E5FB3">
        <w:rPr>
          <w:rFonts w:ascii="Times New Roman" w:hAnsi="Times New Roman"/>
          <w:b/>
          <w:i/>
        </w:rPr>
        <w:t>98 ust. 2</w:t>
      </w:r>
    </w:p>
    <w:p w14:paraId="46C11AB1" w14:textId="77777777" w:rsidR="00216961" w:rsidRPr="008E5FB3" w:rsidRDefault="00216961" w:rsidP="00713591">
      <w:pPr>
        <w:spacing w:line="276" w:lineRule="auto"/>
        <w:jc w:val="both"/>
        <w:rPr>
          <w:rFonts w:ascii="Times New Roman" w:hAnsi="Times New Roman"/>
          <w:b/>
          <w:i/>
        </w:rPr>
      </w:pPr>
    </w:p>
    <w:p w14:paraId="7929E23F" w14:textId="3491A94F" w:rsidR="00216961" w:rsidRDefault="00216961" w:rsidP="00713591">
      <w:pPr>
        <w:spacing w:line="276" w:lineRule="auto"/>
        <w:jc w:val="both"/>
        <w:rPr>
          <w:rFonts w:ascii="Times New Roman" w:hAnsi="Times New Roman"/>
        </w:rPr>
      </w:pPr>
      <w:r w:rsidRPr="008E5FB3">
        <w:rPr>
          <w:rFonts w:ascii="Times New Roman" w:hAnsi="Times New Roman"/>
        </w:rPr>
        <w:t xml:space="preserve">Projektowana zmiana dotyczy uporządkowania kwestii związanych z możliwością emisji skarbowych papierów wartościowych opiewających na świadczenia niepieniężne, jak również opiewających na świadczenia pieniężne uprawniające do określonych świadczeń niepieniężnych w związku ze zmianami wprowadzonymi ustawą wprowadzającą ustawę o zarządzaniu mieniem państwowym. W związku z powyższym uchylono </w:t>
      </w:r>
      <w:r w:rsidR="007C2EB9" w:rsidRPr="008E5FB3">
        <w:rPr>
          <w:rFonts w:ascii="Times New Roman" w:hAnsi="Times New Roman"/>
        </w:rPr>
        <w:t>ust. 4</w:t>
      </w:r>
      <w:r w:rsidR="007C2EB9">
        <w:rPr>
          <w:rFonts w:ascii="Times New Roman" w:hAnsi="Times New Roman"/>
        </w:rPr>
        <w:t xml:space="preserve"> </w:t>
      </w:r>
      <w:r w:rsidRPr="008E5FB3">
        <w:rPr>
          <w:rFonts w:ascii="Times New Roman" w:hAnsi="Times New Roman"/>
        </w:rPr>
        <w:t>w art. 95 i dokonano zmian w ust. 5 oraz w art. 98 ust. 2.</w:t>
      </w:r>
    </w:p>
    <w:p w14:paraId="27519C14" w14:textId="77777777" w:rsidR="00300A11" w:rsidRPr="008E5FB3" w:rsidRDefault="00300A11" w:rsidP="00713591">
      <w:pPr>
        <w:spacing w:line="276" w:lineRule="auto"/>
        <w:jc w:val="both"/>
        <w:rPr>
          <w:rFonts w:ascii="Times New Roman" w:hAnsi="Times New Roman"/>
        </w:rPr>
      </w:pPr>
    </w:p>
    <w:p w14:paraId="71CE0DB4" w14:textId="0428A4A4" w:rsidR="00216961" w:rsidRPr="008E5FB3" w:rsidRDefault="001621E8" w:rsidP="00713591">
      <w:pPr>
        <w:spacing w:line="276" w:lineRule="auto"/>
        <w:jc w:val="both"/>
        <w:rPr>
          <w:rFonts w:ascii="Times New Roman" w:hAnsi="Times New Roman"/>
          <w:b/>
          <w:i/>
        </w:rPr>
      </w:pPr>
      <w:r>
        <w:rPr>
          <w:rFonts w:ascii="Times New Roman" w:hAnsi="Times New Roman"/>
          <w:b/>
          <w:i/>
        </w:rPr>
        <w:t>uchylenie</w:t>
      </w:r>
      <w:r w:rsidR="00216961" w:rsidRPr="008E5FB3">
        <w:rPr>
          <w:rFonts w:ascii="Times New Roman" w:hAnsi="Times New Roman"/>
          <w:b/>
          <w:i/>
        </w:rPr>
        <w:t xml:space="preserve"> art. 96 i</w:t>
      </w:r>
      <w:r>
        <w:rPr>
          <w:rFonts w:ascii="Times New Roman" w:hAnsi="Times New Roman"/>
          <w:b/>
          <w:i/>
        </w:rPr>
        <w:t xml:space="preserve"> zmiana art.</w:t>
      </w:r>
      <w:r w:rsidR="00216961" w:rsidRPr="008E5FB3">
        <w:rPr>
          <w:rFonts w:ascii="Times New Roman" w:hAnsi="Times New Roman"/>
          <w:b/>
          <w:i/>
        </w:rPr>
        <w:t xml:space="preserve"> 99</w:t>
      </w:r>
    </w:p>
    <w:p w14:paraId="08F0B1C6" w14:textId="77777777" w:rsidR="00216961" w:rsidRPr="008E5FB3" w:rsidRDefault="00216961" w:rsidP="00713591">
      <w:pPr>
        <w:spacing w:line="276" w:lineRule="auto"/>
        <w:jc w:val="both"/>
        <w:rPr>
          <w:rFonts w:ascii="Times New Roman" w:hAnsi="Times New Roman"/>
          <w:b/>
          <w:i/>
        </w:rPr>
      </w:pPr>
    </w:p>
    <w:p w14:paraId="0731A516" w14:textId="6B82E4BF" w:rsidR="002C33F7" w:rsidRPr="008E5FB3" w:rsidRDefault="00216961" w:rsidP="00713591">
      <w:pPr>
        <w:spacing w:line="276" w:lineRule="auto"/>
        <w:jc w:val="both"/>
        <w:rPr>
          <w:rFonts w:ascii="Times New Roman" w:hAnsi="Times New Roman"/>
        </w:rPr>
      </w:pPr>
      <w:r w:rsidRPr="008E5FB3">
        <w:rPr>
          <w:rFonts w:ascii="Times New Roman" w:hAnsi="Times New Roman"/>
        </w:rPr>
        <w:t>Zmiana wynika z rezygnacji z ustawowego podziału skarbowych papierów wartościowych na krótko- i długoterminowe. W związku z powyższym uchyla się art. 96. Pozostawienie tego artykułu może rodzić wątpliwości co do możliwości emisji obligacji skarbowych lub skarbowych papierów oszczędnościowych jako krótkotermin</w:t>
      </w:r>
      <w:r w:rsidR="006D1D8E">
        <w:rPr>
          <w:rFonts w:ascii="Times New Roman" w:hAnsi="Times New Roman"/>
        </w:rPr>
        <w:t>owe. W związku z rezygnacją z w</w:t>
      </w:r>
      <w:r w:rsidRPr="008E5FB3">
        <w:rPr>
          <w:rFonts w:ascii="Times New Roman" w:hAnsi="Times New Roman"/>
        </w:rPr>
        <w:t>w</w:t>
      </w:r>
      <w:r w:rsidR="006D1D8E">
        <w:rPr>
          <w:rFonts w:ascii="Times New Roman" w:hAnsi="Times New Roman"/>
        </w:rPr>
        <w:t>.</w:t>
      </w:r>
      <w:r w:rsidRPr="008E5FB3">
        <w:rPr>
          <w:rFonts w:ascii="Times New Roman" w:hAnsi="Times New Roman"/>
        </w:rPr>
        <w:t xml:space="preserve"> podziału i uchyleniem art. 96, w ustawie konieczne było dokonanie zmiany art. 99 dotyczącego definicji bon</w:t>
      </w:r>
      <w:r w:rsidR="00165300">
        <w:rPr>
          <w:rFonts w:ascii="Times New Roman" w:hAnsi="Times New Roman"/>
        </w:rPr>
        <w:t>u</w:t>
      </w:r>
      <w:r w:rsidRPr="008E5FB3">
        <w:rPr>
          <w:rFonts w:ascii="Times New Roman" w:hAnsi="Times New Roman"/>
        </w:rPr>
        <w:t xml:space="preserve"> skarbowego, która odwoływała się do pojęcia krótkoterminowych skarbowych papierów wartościowych.</w:t>
      </w:r>
    </w:p>
    <w:p w14:paraId="090C716D" w14:textId="77777777" w:rsidR="00216961" w:rsidRPr="008E5FB3" w:rsidRDefault="00216961" w:rsidP="00713591">
      <w:pPr>
        <w:spacing w:line="276" w:lineRule="auto"/>
        <w:jc w:val="both"/>
        <w:rPr>
          <w:rFonts w:ascii="Times New Roman" w:hAnsi="Times New Roman"/>
        </w:rPr>
      </w:pPr>
    </w:p>
    <w:p w14:paraId="3D680657" w14:textId="2103BB0E" w:rsidR="00216961" w:rsidRPr="008E5FB3" w:rsidRDefault="00EC4752" w:rsidP="00713591">
      <w:pPr>
        <w:spacing w:line="276" w:lineRule="auto"/>
        <w:jc w:val="both"/>
        <w:rPr>
          <w:rFonts w:ascii="Times New Roman" w:hAnsi="Times New Roman"/>
          <w:b/>
          <w:i/>
        </w:rPr>
      </w:pPr>
      <w:r>
        <w:rPr>
          <w:rFonts w:ascii="Times New Roman" w:hAnsi="Times New Roman"/>
          <w:b/>
          <w:i/>
        </w:rPr>
        <w:t>zmiana</w:t>
      </w:r>
      <w:r w:rsidR="00216961" w:rsidRPr="008E5FB3">
        <w:rPr>
          <w:rFonts w:ascii="Times New Roman" w:hAnsi="Times New Roman"/>
          <w:b/>
          <w:i/>
        </w:rPr>
        <w:t xml:space="preserve"> w art. 197</w:t>
      </w:r>
      <w:r w:rsidR="001621E8">
        <w:rPr>
          <w:rFonts w:ascii="Times New Roman" w:hAnsi="Times New Roman"/>
          <w:b/>
          <w:i/>
        </w:rPr>
        <w:t>,</w:t>
      </w:r>
      <w:r w:rsidR="00216961" w:rsidRPr="008E5FB3">
        <w:rPr>
          <w:rFonts w:ascii="Times New Roman" w:hAnsi="Times New Roman"/>
          <w:b/>
          <w:i/>
        </w:rPr>
        <w:t xml:space="preserve"> dodanie ust. 5</w:t>
      </w:r>
    </w:p>
    <w:p w14:paraId="5AC803BB" w14:textId="77777777" w:rsidR="00216961" w:rsidRPr="008E5FB3" w:rsidRDefault="00216961" w:rsidP="00713591">
      <w:pPr>
        <w:spacing w:line="276" w:lineRule="auto"/>
        <w:jc w:val="both"/>
        <w:rPr>
          <w:rFonts w:ascii="Times New Roman" w:hAnsi="Times New Roman"/>
          <w:b/>
          <w:i/>
        </w:rPr>
      </w:pPr>
    </w:p>
    <w:p w14:paraId="39BA7D45" w14:textId="7E0F87CA" w:rsidR="002F1532" w:rsidRDefault="00216961" w:rsidP="00713591">
      <w:pPr>
        <w:spacing w:line="276" w:lineRule="auto"/>
        <w:jc w:val="both"/>
        <w:rPr>
          <w:rFonts w:ascii="Times New Roman" w:hAnsi="Times New Roman"/>
        </w:rPr>
      </w:pPr>
      <w:r w:rsidRPr="008E5FB3">
        <w:rPr>
          <w:rFonts w:ascii="Times New Roman" w:hAnsi="Times New Roman"/>
        </w:rPr>
        <w:t>W celu usprawnienia zarządzania środkami oraz zwiększenia przejrzystości operacji finansowych otwieranie przez Ministra Finansów rachunków bankowych w walutach obcych powinno być możliwe nie tylko w ramach rachunków pomocniczych, ale również w ramach centralnego rachunku bieżącego budżetu państwa. W związku z powyższym, wprowadzono taką możliwość poprzez zmianę art. 197 i dodanie ust. 5.</w:t>
      </w:r>
    </w:p>
    <w:p w14:paraId="34D955E8" w14:textId="77777777" w:rsidR="007C2EB9" w:rsidRPr="008E5FB3" w:rsidRDefault="007C2EB9" w:rsidP="00713591">
      <w:pPr>
        <w:spacing w:line="276" w:lineRule="auto"/>
        <w:jc w:val="both"/>
        <w:rPr>
          <w:rFonts w:ascii="Times New Roman" w:hAnsi="Times New Roman"/>
        </w:rPr>
      </w:pPr>
    </w:p>
    <w:p w14:paraId="51C590EE" w14:textId="00932B43" w:rsidR="00F349B9" w:rsidRPr="008E5FB3" w:rsidRDefault="006A393F" w:rsidP="00713591">
      <w:pPr>
        <w:suppressAutoHyphens/>
        <w:autoSpaceDE w:val="0"/>
        <w:autoSpaceDN w:val="0"/>
        <w:adjustRightInd w:val="0"/>
        <w:spacing w:before="120" w:line="276" w:lineRule="auto"/>
        <w:jc w:val="both"/>
        <w:rPr>
          <w:rFonts w:ascii="Times New Roman" w:eastAsia="Times New Roman" w:hAnsi="Times New Roman"/>
          <w:b/>
          <w:bCs/>
          <w:u w:val="single"/>
          <w:lang w:eastAsia="pl-PL"/>
        </w:rPr>
      </w:pPr>
      <w:r>
        <w:rPr>
          <w:rFonts w:ascii="Times New Roman" w:eastAsia="Times New Roman" w:hAnsi="Times New Roman"/>
          <w:b/>
          <w:bCs/>
          <w:u w:val="single"/>
          <w:lang w:eastAsia="pl-PL"/>
        </w:rPr>
        <w:t>Jednost</w:t>
      </w:r>
      <w:r w:rsidR="00F349B9" w:rsidRPr="008E5FB3">
        <w:rPr>
          <w:rFonts w:ascii="Times New Roman" w:eastAsia="Times New Roman" w:hAnsi="Times New Roman"/>
          <w:b/>
          <w:bCs/>
          <w:u w:val="single"/>
          <w:lang w:eastAsia="pl-PL"/>
        </w:rPr>
        <w:t>k</w:t>
      </w:r>
      <w:r>
        <w:rPr>
          <w:rFonts w:ascii="Times New Roman" w:eastAsia="Times New Roman" w:hAnsi="Times New Roman"/>
          <w:b/>
          <w:bCs/>
          <w:u w:val="single"/>
          <w:lang w:eastAsia="pl-PL"/>
        </w:rPr>
        <w:t>i</w:t>
      </w:r>
      <w:r w:rsidR="00F349B9" w:rsidRPr="008E5FB3">
        <w:rPr>
          <w:rFonts w:ascii="Times New Roman" w:eastAsia="Times New Roman" w:hAnsi="Times New Roman"/>
          <w:b/>
          <w:bCs/>
          <w:u w:val="single"/>
          <w:lang w:eastAsia="pl-PL"/>
        </w:rPr>
        <w:t xml:space="preserve"> samorządu terytorialnego</w:t>
      </w:r>
    </w:p>
    <w:p w14:paraId="5451991A" w14:textId="77777777" w:rsidR="0054742E" w:rsidRPr="008E5FB3" w:rsidRDefault="0054742E" w:rsidP="00713591">
      <w:pPr>
        <w:spacing w:line="276" w:lineRule="auto"/>
        <w:jc w:val="both"/>
        <w:rPr>
          <w:rFonts w:ascii="Times New Roman" w:hAnsi="Times New Roman"/>
        </w:rPr>
      </w:pPr>
    </w:p>
    <w:p w14:paraId="03F92BF9" w14:textId="054A789D" w:rsidR="00516483" w:rsidRPr="008E5FB3" w:rsidRDefault="00516483" w:rsidP="00713591">
      <w:pPr>
        <w:spacing w:line="276" w:lineRule="auto"/>
        <w:jc w:val="both"/>
        <w:rPr>
          <w:rFonts w:ascii="Times New Roman" w:hAnsi="Times New Roman"/>
          <w:b/>
          <w:i/>
        </w:rPr>
      </w:pPr>
      <w:r w:rsidRPr="008E5FB3">
        <w:rPr>
          <w:rFonts w:ascii="Times New Roman" w:hAnsi="Times New Roman"/>
          <w:b/>
          <w:i/>
        </w:rPr>
        <w:t>zmiana w art. 232 ust. 2</w:t>
      </w:r>
    </w:p>
    <w:p w14:paraId="04EC5B09" w14:textId="77777777" w:rsidR="00516483" w:rsidRPr="008E5FB3" w:rsidRDefault="00516483" w:rsidP="00713591">
      <w:pPr>
        <w:spacing w:line="276" w:lineRule="auto"/>
        <w:jc w:val="both"/>
        <w:rPr>
          <w:rFonts w:ascii="Times New Roman" w:hAnsi="Times New Roman"/>
          <w:b/>
          <w:i/>
        </w:rPr>
      </w:pPr>
    </w:p>
    <w:p w14:paraId="632FB788" w14:textId="77777777" w:rsidR="00516483" w:rsidRDefault="00516483" w:rsidP="002F1532">
      <w:pPr>
        <w:spacing w:line="276" w:lineRule="auto"/>
        <w:jc w:val="both"/>
        <w:rPr>
          <w:rFonts w:ascii="Times New Roman" w:hAnsi="Times New Roman"/>
        </w:rPr>
      </w:pPr>
      <w:r w:rsidRPr="008E5FB3">
        <w:rPr>
          <w:rFonts w:ascii="Times New Roman" w:hAnsi="Times New Roman"/>
        </w:rPr>
        <w:t xml:space="preserve">Proponowane zmiany mają na celu usprawnienie procesu realizacji przedsięwzięć wieloletnich określonych w wieloletnich prognozach finansowych jednostek samorządu terytorialnego. </w:t>
      </w:r>
    </w:p>
    <w:p w14:paraId="4264A5D2" w14:textId="77777777" w:rsidR="002F1532" w:rsidRPr="008E5FB3" w:rsidRDefault="002F1532">
      <w:pPr>
        <w:spacing w:line="276" w:lineRule="auto"/>
        <w:jc w:val="both"/>
        <w:rPr>
          <w:rFonts w:ascii="Times New Roman" w:hAnsi="Times New Roman"/>
        </w:rPr>
      </w:pPr>
    </w:p>
    <w:p w14:paraId="38A0C4EF" w14:textId="1A6DAB6F" w:rsidR="00516483" w:rsidRDefault="00516483">
      <w:pPr>
        <w:spacing w:line="276" w:lineRule="auto"/>
        <w:jc w:val="both"/>
        <w:rPr>
          <w:rFonts w:ascii="Times New Roman" w:hAnsi="Times New Roman"/>
        </w:rPr>
      </w:pPr>
      <w:r w:rsidRPr="008E5FB3">
        <w:rPr>
          <w:rFonts w:ascii="Times New Roman" w:hAnsi="Times New Roman"/>
        </w:rPr>
        <w:t>W aktualnym stanie prawnym zmiana limitu zobowiązań i kwot wydatków na przedsięwzięcia wieloletnie jest wyłączną kompetencją organu stanowiącego  i  zgodnie z art. 231 ustawy o</w:t>
      </w:r>
      <w:r w:rsidR="002F1532">
        <w:rPr>
          <w:rFonts w:ascii="Times New Roman" w:hAnsi="Times New Roman"/>
        </w:rPr>
        <w:t> </w:t>
      </w:r>
      <w:r w:rsidRPr="008E5FB3">
        <w:rPr>
          <w:rFonts w:ascii="Times New Roman" w:hAnsi="Times New Roman"/>
        </w:rPr>
        <w:t>finansach publicznych</w:t>
      </w:r>
      <w:r w:rsidR="002F1532" w:rsidRPr="002F1532">
        <w:rPr>
          <w:rFonts w:ascii="Times New Roman" w:hAnsi="Times New Roman"/>
        </w:rPr>
        <w:t xml:space="preserve"> </w:t>
      </w:r>
      <w:r w:rsidR="002F1532" w:rsidRPr="008E5FB3">
        <w:rPr>
          <w:rFonts w:ascii="Times New Roman" w:hAnsi="Times New Roman"/>
        </w:rPr>
        <w:t>może nastąpić,</w:t>
      </w:r>
      <w:r w:rsidRPr="008E5FB3">
        <w:rPr>
          <w:rFonts w:ascii="Times New Roman" w:hAnsi="Times New Roman"/>
        </w:rPr>
        <w:t xml:space="preserve"> w wyniku podjęcia uchwały organu stanowiącego jednostki samorządu terytorialnego, zmieniającej zakres wykonania lub wstrzymującej wykonywanie przedsięwzięcia. </w:t>
      </w:r>
    </w:p>
    <w:p w14:paraId="2F0C66FE" w14:textId="77777777" w:rsidR="001632B4" w:rsidRPr="008E5FB3" w:rsidRDefault="001632B4">
      <w:pPr>
        <w:spacing w:line="276" w:lineRule="auto"/>
        <w:jc w:val="both"/>
        <w:rPr>
          <w:rFonts w:ascii="Times New Roman" w:hAnsi="Times New Roman"/>
        </w:rPr>
      </w:pPr>
    </w:p>
    <w:p w14:paraId="0AAFC737" w14:textId="2839B3C1" w:rsidR="00516483" w:rsidRDefault="00516483">
      <w:pPr>
        <w:spacing w:line="276" w:lineRule="auto"/>
        <w:jc w:val="both"/>
        <w:rPr>
          <w:rFonts w:ascii="Times New Roman" w:hAnsi="Times New Roman"/>
        </w:rPr>
      </w:pPr>
      <w:r w:rsidRPr="008E5FB3">
        <w:rPr>
          <w:rFonts w:ascii="Times New Roman" w:hAnsi="Times New Roman"/>
        </w:rPr>
        <w:t xml:space="preserve">Proponowana zmiana umożliwi rozszerzenie kompetencji zarządu </w:t>
      </w:r>
      <w:r w:rsidR="00225EF3">
        <w:rPr>
          <w:rFonts w:ascii="Times New Roman" w:hAnsi="Times New Roman"/>
        </w:rPr>
        <w:t>jednostki samorządu terytorialnego</w:t>
      </w:r>
      <w:r w:rsidRPr="008E5FB3">
        <w:rPr>
          <w:rFonts w:ascii="Times New Roman" w:hAnsi="Times New Roman"/>
        </w:rPr>
        <w:t xml:space="preserve"> dotyczących dokonywania zmian w wieloletniej prognozie finansowej o</w:t>
      </w:r>
      <w:r w:rsidR="00225EF3">
        <w:rPr>
          <w:rFonts w:ascii="Times New Roman" w:hAnsi="Times New Roman"/>
        </w:rPr>
        <w:t> </w:t>
      </w:r>
      <w:r w:rsidRPr="008E5FB3">
        <w:rPr>
          <w:rFonts w:ascii="Times New Roman" w:hAnsi="Times New Roman"/>
        </w:rPr>
        <w:t>możliwość zmiany limitów zobowiązań lub kwot wydatków na przedsięwzięcia w</w:t>
      </w:r>
      <w:r w:rsidR="00225EF3">
        <w:rPr>
          <w:rFonts w:ascii="Times New Roman" w:hAnsi="Times New Roman"/>
        </w:rPr>
        <w:t> </w:t>
      </w:r>
      <w:r w:rsidRPr="008E5FB3">
        <w:rPr>
          <w:rFonts w:ascii="Times New Roman" w:hAnsi="Times New Roman"/>
        </w:rPr>
        <w:t xml:space="preserve">następstwie zmian w realizacji tego przedsięwzięcia. Ponadto zakres zmian dokonywanych (ewentualnie) przez zarząd uwarunkowany został niepogorszeniem wyniku budżetu </w:t>
      </w:r>
      <w:r w:rsidR="00225EF3">
        <w:rPr>
          <w:rFonts w:ascii="Times New Roman" w:hAnsi="Times New Roman"/>
        </w:rPr>
        <w:t>jednostki samorządu terytorialnego</w:t>
      </w:r>
      <w:r w:rsidR="00225EF3" w:rsidRPr="008E5FB3">
        <w:rPr>
          <w:rFonts w:ascii="Times New Roman" w:hAnsi="Times New Roman"/>
        </w:rPr>
        <w:t xml:space="preserve"> </w:t>
      </w:r>
      <w:r w:rsidRPr="008E5FB3">
        <w:rPr>
          <w:rFonts w:ascii="Times New Roman" w:hAnsi="Times New Roman"/>
        </w:rPr>
        <w:t xml:space="preserve">dla każdego roku objętego prognozą. </w:t>
      </w:r>
    </w:p>
    <w:p w14:paraId="09AC38D1" w14:textId="77777777" w:rsidR="001632B4" w:rsidRPr="008E5FB3" w:rsidRDefault="001632B4">
      <w:pPr>
        <w:spacing w:line="276" w:lineRule="auto"/>
        <w:jc w:val="both"/>
        <w:rPr>
          <w:rFonts w:ascii="Times New Roman" w:hAnsi="Times New Roman"/>
        </w:rPr>
      </w:pPr>
    </w:p>
    <w:p w14:paraId="09D7F98A" w14:textId="6DEA0338" w:rsidR="001632B4" w:rsidRDefault="00516483">
      <w:pPr>
        <w:spacing w:line="276" w:lineRule="auto"/>
        <w:jc w:val="both"/>
        <w:rPr>
          <w:rFonts w:ascii="Times New Roman" w:hAnsi="Times New Roman"/>
        </w:rPr>
      </w:pPr>
      <w:r w:rsidRPr="008E5FB3">
        <w:rPr>
          <w:rFonts w:ascii="Times New Roman" w:hAnsi="Times New Roman"/>
        </w:rPr>
        <w:t xml:space="preserve">Proponowane rozwiązanie pozwoli na uelastycznienie gospodarki finansowej </w:t>
      </w:r>
      <w:r w:rsidR="00225EF3">
        <w:rPr>
          <w:rFonts w:ascii="Times New Roman" w:hAnsi="Times New Roman"/>
        </w:rPr>
        <w:t>jednostki samorządu terytorialnego</w:t>
      </w:r>
      <w:r w:rsidRPr="008E5FB3">
        <w:rPr>
          <w:rFonts w:ascii="Times New Roman" w:hAnsi="Times New Roman"/>
        </w:rPr>
        <w:t>. Należy również zwrócić uwagę na fakt, że propozycja ta ma generalnie charakter fakultatywny. Co</w:t>
      </w:r>
      <w:r w:rsidR="00225EF3">
        <w:rPr>
          <w:rFonts w:ascii="Times New Roman" w:hAnsi="Times New Roman"/>
        </w:rPr>
        <w:t> </w:t>
      </w:r>
      <w:r w:rsidRPr="008E5FB3">
        <w:rPr>
          <w:rFonts w:ascii="Times New Roman" w:hAnsi="Times New Roman"/>
        </w:rPr>
        <w:t>ważne organ stanowiący zachowa wpływ na przedmiotowe zmiany, bowiem stosowanie regulacji byłoby warunkowane stosownym upoważnieniem organu stanowiącego.</w:t>
      </w:r>
    </w:p>
    <w:p w14:paraId="2198DC60" w14:textId="77777777" w:rsidR="00301425" w:rsidRDefault="00301425">
      <w:pPr>
        <w:spacing w:line="276" w:lineRule="auto"/>
        <w:jc w:val="both"/>
        <w:rPr>
          <w:rFonts w:ascii="Times New Roman" w:hAnsi="Times New Roman"/>
        </w:rPr>
      </w:pPr>
    </w:p>
    <w:p w14:paraId="004B2532" w14:textId="5A2EF557" w:rsidR="00301425" w:rsidRDefault="00301425">
      <w:pPr>
        <w:spacing w:line="276" w:lineRule="auto"/>
        <w:jc w:val="both"/>
        <w:rPr>
          <w:rFonts w:ascii="Times New Roman" w:hAnsi="Times New Roman"/>
          <w:b/>
          <w:i/>
        </w:rPr>
      </w:pPr>
      <w:r>
        <w:rPr>
          <w:rFonts w:ascii="Times New Roman" w:hAnsi="Times New Roman"/>
          <w:b/>
          <w:i/>
        </w:rPr>
        <w:t>zmiana w art. 252 ust. 6</w:t>
      </w:r>
    </w:p>
    <w:p w14:paraId="5686EC63" w14:textId="77777777" w:rsidR="00301425" w:rsidRDefault="00301425">
      <w:pPr>
        <w:spacing w:line="276" w:lineRule="auto"/>
        <w:jc w:val="both"/>
        <w:rPr>
          <w:rFonts w:ascii="Times New Roman" w:hAnsi="Times New Roman"/>
          <w:b/>
          <w:i/>
        </w:rPr>
      </w:pPr>
    </w:p>
    <w:p w14:paraId="11276D61" w14:textId="2B3010E7" w:rsidR="00301425" w:rsidRPr="00301425" w:rsidRDefault="00301425">
      <w:pPr>
        <w:spacing w:line="276" w:lineRule="auto"/>
        <w:jc w:val="both"/>
        <w:rPr>
          <w:rFonts w:ascii="Times New Roman" w:hAnsi="Times New Roman"/>
        </w:rPr>
      </w:pPr>
      <w:r w:rsidRPr="00301425">
        <w:rPr>
          <w:rFonts w:ascii="Times New Roman" w:hAnsi="Times New Roman"/>
        </w:rPr>
        <w:t>Dotychczasowe przepisy art. 169</w:t>
      </w:r>
      <w:r w:rsidRPr="007C2EB9">
        <w:rPr>
          <w:rFonts w:ascii="Times New Roman" w:hAnsi="Times New Roman"/>
        </w:rPr>
        <w:t xml:space="preserve"> ust. 5 i art. 252 ust. 6 były spójne w zakresie terminu od którego nalicza się odsetki od zwrotu dotacji. W związku z tym,</w:t>
      </w:r>
      <w:r w:rsidR="005C1559">
        <w:rPr>
          <w:rFonts w:ascii="Times New Roman" w:hAnsi="Times New Roman"/>
        </w:rPr>
        <w:t xml:space="preserve"> że ulega zmianie art. 169 ust. </w:t>
      </w:r>
      <w:r w:rsidRPr="007C2EB9">
        <w:rPr>
          <w:rFonts w:ascii="Times New Roman" w:hAnsi="Times New Roman"/>
        </w:rPr>
        <w:t xml:space="preserve">5, </w:t>
      </w:r>
      <w:r>
        <w:rPr>
          <w:rFonts w:ascii="Times New Roman" w:hAnsi="Times New Roman"/>
        </w:rPr>
        <w:t>dla zachowania spójności i jednolitości</w:t>
      </w:r>
      <w:r w:rsidRPr="00301425">
        <w:rPr>
          <w:rFonts w:ascii="Times New Roman" w:hAnsi="Times New Roman"/>
        </w:rPr>
        <w:t xml:space="preserve"> zaproponowano</w:t>
      </w:r>
      <w:r>
        <w:rPr>
          <w:rFonts w:ascii="Times New Roman" w:hAnsi="Times New Roman"/>
        </w:rPr>
        <w:t xml:space="preserve"> analogiczną zmianę</w:t>
      </w:r>
      <w:r w:rsidRPr="00301425">
        <w:rPr>
          <w:rFonts w:ascii="Times New Roman" w:hAnsi="Times New Roman"/>
        </w:rPr>
        <w:t xml:space="preserve"> również</w:t>
      </w:r>
      <w:r>
        <w:rPr>
          <w:rFonts w:ascii="Times New Roman" w:hAnsi="Times New Roman"/>
        </w:rPr>
        <w:t xml:space="preserve"> w art. 252 ust. 6.</w:t>
      </w:r>
    </w:p>
    <w:p w14:paraId="3CA2704F" w14:textId="77777777" w:rsidR="004C081D" w:rsidRPr="008E5FB3" w:rsidRDefault="004C081D">
      <w:pPr>
        <w:spacing w:line="276" w:lineRule="auto"/>
        <w:jc w:val="both"/>
        <w:rPr>
          <w:rFonts w:ascii="Times New Roman" w:hAnsi="Times New Roman"/>
        </w:rPr>
      </w:pPr>
    </w:p>
    <w:p w14:paraId="70E071C7" w14:textId="3EBB4916" w:rsidR="0093498B" w:rsidRPr="008E5FB3" w:rsidRDefault="0093498B" w:rsidP="00713591">
      <w:pPr>
        <w:spacing w:line="276" w:lineRule="auto"/>
        <w:jc w:val="both"/>
        <w:rPr>
          <w:rFonts w:ascii="Times New Roman" w:hAnsi="Times New Roman"/>
          <w:b/>
          <w:i/>
        </w:rPr>
      </w:pPr>
      <w:r w:rsidRPr="008E5FB3">
        <w:rPr>
          <w:rFonts w:ascii="Times New Roman" w:hAnsi="Times New Roman"/>
          <w:b/>
          <w:i/>
        </w:rPr>
        <w:t>zmiana w art. 255</w:t>
      </w:r>
      <w:r w:rsidR="001621E8">
        <w:rPr>
          <w:rFonts w:ascii="Times New Roman" w:hAnsi="Times New Roman"/>
          <w:b/>
          <w:i/>
        </w:rPr>
        <w:t xml:space="preserve"> ust. 1</w:t>
      </w:r>
      <w:r w:rsidR="004C081D">
        <w:rPr>
          <w:rFonts w:ascii="Times New Roman" w:hAnsi="Times New Roman"/>
          <w:b/>
          <w:i/>
        </w:rPr>
        <w:t>, ust. 2</w:t>
      </w:r>
      <w:r w:rsidR="001621E8">
        <w:rPr>
          <w:rFonts w:ascii="Times New Roman" w:hAnsi="Times New Roman"/>
          <w:b/>
          <w:i/>
        </w:rPr>
        <w:t xml:space="preserve"> i dodanie ust. 6</w:t>
      </w:r>
    </w:p>
    <w:p w14:paraId="61CF2015" w14:textId="77777777" w:rsidR="0093498B" w:rsidRPr="008E5FB3" w:rsidRDefault="0093498B" w:rsidP="00713591">
      <w:pPr>
        <w:spacing w:line="276" w:lineRule="auto"/>
        <w:jc w:val="both"/>
        <w:rPr>
          <w:rFonts w:ascii="Times New Roman" w:hAnsi="Times New Roman"/>
          <w:b/>
          <w:i/>
        </w:rPr>
      </w:pPr>
    </w:p>
    <w:p w14:paraId="67A95D83" w14:textId="42C13983" w:rsidR="0093498B" w:rsidRDefault="00983AEB" w:rsidP="00713591">
      <w:pPr>
        <w:spacing w:line="276" w:lineRule="auto"/>
        <w:jc w:val="both"/>
        <w:rPr>
          <w:rFonts w:ascii="Times New Roman" w:hAnsi="Times New Roman"/>
        </w:rPr>
      </w:pPr>
      <w:r w:rsidRPr="008E5FB3">
        <w:rPr>
          <w:rFonts w:ascii="Times New Roman" w:hAnsi="Times New Roman"/>
        </w:rPr>
        <w:t>Projektowana zmiana ma na celu doprecyzowanie terminu w jakim zarząd jednostki samorządu terytorialnego przekazuje pobrane dochody budżetowe, poprzez wskazanie, że gdy ten dzień jest dniem wolnym od pracy – do pierwszego dnia roboczego po tym terminie.</w:t>
      </w:r>
      <w:r w:rsidR="00CC2973">
        <w:rPr>
          <w:rFonts w:ascii="Times New Roman" w:hAnsi="Times New Roman"/>
        </w:rPr>
        <w:t xml:space="preserve"> </w:t>
      </w:r>
    </w:p>
    <w:p w14:paraId="33C43238" w14:textId="77777777" w:rsidR="00CC2973" w:rsidRDefault="00CC2973" w:rsidP="00713591">
      <w:pPr>
        <w:spacing w:line="276" w:lineRule="auto"/>
        <w:jc w:val="both"/>
        <w:rPr>
          <w:rFonts w:ascii="Times New Roman" w:hAnsi="Times New Roman"/>
        </w:rPr>
      </w:pPr>
    </w:p>
    <w:p w14:paraId="3EFDB64A" w14:textId="03BB280D" w:rsidR="006A393F" w:rsidRPr="008E5FB3" w:rsidRDefault="00CC2973" w:rsidP="00713591">
      <w:pPr>
        <w:spacing w:line="276" w:lineRule="auto"/>
        <w:jc w:val="both"/>
        <w:rPr>
          <w:rFonts w:ascii="Times New Roman" w:hAnsi="Times New Roman"/>
        </w:rPr>
      </w:pPr>
      <w:r>
        <w:rPr>
          <w:rFonts w:ascii="Times New Roman" w:eastAsia="Times New Roman" w:hAnsi="Times New Roman" w:cs="Arial"/>
          <w:szCs w:val="20"/>
          <w:lang w:eastAsia="pl-PL"/>
        </w:rPr>
        <w:t>Doprecyzowano terminy, w których p</w:t>
      </w:r>
      <w:r w:rsidRPr="00CC2973">
        <w:rPr>
          <w:rFonts w:ascii="Times New Roman" w:eastAsia="Times New Roman" w:hAnsi="Times New Roman" w:cs="Arial"/>
          <w:szCs w:val="20"/>
          <w:lang w:eastAsia="pl-PL"/>
        </w:rPr>
        <w:t>obrane dochody budżetowe związane z realizacją zadań z zakresu administracji rządowej oraz innych zadań zleconych jednostce samorządu terytorialnego odrębnymi ustawami są przekazywane odpowiednio przez zarząd jednostki samorządu terytorialnego na rachunek bieżący dochodów dysponenta części budżetowej przekazującego dotację celową</w:t>
      </w:r>
      <w:r>
        <w:rPr>
          <w:rFonts w:ascii="Times New Roman" w:eastAsia="Times New Roman" w:hAnsi="Times New Roman" w:cs="Arial"/>
          <w:szCs w:val="20"/>
          <w:lang w:eastAsia="pl-PL"/>
        </w:rPr>
        <w:t>.</w:t>
      </w:r>
    </w:p>
    <w:p w14:paraId="44F8188E" w14:textId="3761AD1E" w:rsidR="00CB4517" w:rsidRDefault="00386AEB" w:rsidP="00713591">
      <w:pPr>
        <w:spacing w:line="276" w:lineRule="auto"/>
        <w:jc w:val="both"/>
        <w:rPr>
          <w:rFonts w:ascii="Times New Roman" w:hAnsi="Times New Roman"/>
        </w:rPr>
      </w:pPr>
      <w:r w:rsidRPr="006A393F">
        <w:rPr>
          <w:rFonts w:ascii="Times New Roman" w:hAnsi="Times New Roman"/>
        </w:rPr>
        <w:t>Przepisy ustawy w obecnym brzmieniu nie zawierają regulacji stanowiącej, od jakiego terminu należy liczyć odsetki od kwot dochodów przekazanych w trybie art. 255 ustawy</w:t>
      </w:r>
      <w:r w:rsidR="002F1532">
        <w:rPr>
          <w:rFonts w:ascii="Times New Roman" w:hAnsi="Times New Roman"/>
        </w:rPr>
        <w:t xml:space="preserve"> o finansach publicznych</w:t>
      </w:r>
      <w:r w:rsidRPr="006A393F">
        <w:rPr>
          <w:rFonts w:ascii="Times New Roman" w:hAnsi="Times New Roman"/>
        </w:rPr>
        <w:t xml:space="preserve">, z uchybieniem wskazanych w </w:t>
      </w:r>
      <w:r w:rsidR="002F1532">
        <w:rPr>
          <w:rFonts w:ascii="Times New Roman" w:hAnsi="Times New Roman"/>
        </w:rPr>
        <w:t>przepisie</w:t>
      </w:r>
      <w:r w:rsidR="002F1532" w:rsidRPr="006A393F">
        <w:rPr>
          <w:rFonts w:ascii="Times New Roman" w:hAnsi="Times New Roman"/>
        </w:rPr>
        <w:t xml:space="preserve"> </w:t>
      </w:r>
      <w:r w:rsidRPr="006A393F">
        <w:rPr>
          <w:rFonts w:ascii="Times New Roman" w:hAnsi="Times New Roman"/>
        </w:rPr>
        <w:t xml:space="preserve">terminów. </w:t>
      </w:r>
      <w:r w:rsidR="002F1532">
        <w:rPr>
          <w:rFonts w:ascii="Times New Roman" w:hAnsi="Times New Roman"/>
        </w:rPr>
        <w:t>Dla przejrzystości i </w:t>
      </w:r>
      <w:r w:rsidR="002F1532" w:rsidRPr="006A393F">
        <w:rPr>
          <w:rFonts w:ascii="Times New Roman" w:hAnsi="Times New Roman"/>
        </w:rPr>
        <w:t>jasności prowadzenia postępowania administracyjnego zasadne jest precyzyjne określenie wskazanych terminów</w:t>
      </w:r>
      <w:r w:rsidR="002F1532">
        <w:rPr>
          <w:rFonts w:ascii="Times New Roman" w:hAnsi="Times New Roman"/>
        </w:rPr>
        <w:t>, gdyż w</w:t>
      </w:r>
      <w:r w:rsidRPr="006A393F">
        <w:rPr>
          <w:rFonts w:ascii="Times New Roman" w:hAnsi="Times New Roman"/>
        </w:rPr>
        <w:t xml:space="preserve"> tej </w:t>
      </w:r>
      <w:r w:rsidR="002F1532">
        <w:rPr>
          <w:rFonts w:ascii="Times New Roman" w:hAnsi="Times New Roman"/>
        </w:rPr>
        <w:t>kwestii</w:t>
      </w:r>
      <w:r w:rsidR="002F1532" w:rsidRPr="006A393F">
        <w:rPr>
          <w:rFonts w:ascii="Times New Roman" w:hAnsi="Times New Roman"/>
        </w:rPr>
        <w:t xml:space="preserve"> </w:t>
      </w:r>
      <w:r w:rsidRPr="006A393F">
        <w:rPr>
          <w:rFonts w:ascii="Times New Roman" w:hAnsi="Times New Roman"/>
        </w:rPr>
        <w:t xml:space="preserve">konieczne było określenie terminów na podstawie </w:t>
      </w:r>
      <w:r w:rsidR="002F1532" w:rsidRPr="006A393F">
        <w:rPr>
          <w:rFonts w:ascii="Times New Roman" w:hAnsi="Times New Roman"/>
        </w:rPr>
        <w:t xml:space="preserve">stosowanych </w:t>
      </w:r>
      <w:r w:rsidRPr="006A393F">
        <w:rPr>
          <w:rFonts w:ascii="Times New Roman" w:hAnsi="Times New Roman"/>
        </w:rPr>
        <w:t xml:space="preserve">odpowiednio przepisów ustawy - Ordynacja podatkowa. </w:t>
      </w:r>
    </w:p>
    <w:p w14:paraId="2D13EB9C" w14:textId="42B81244" w:rsidR="00974A1D" w:rsidRDefault="00974A1D" w:rsidP="00713591">
      <w:pPr>
        <w:spacing w:line="276" w:lineRule="auto"/>
        <w:jc w:val="both"/>
        <w:rPr>
          <w:rFonts w:ascii="Times New Roman" w:hAnsi="Times New Roman"/>
          <w:b/>
          <w:i/>
        </w:rPr>
      </w:pPr>
      <w:r w:rsidRPr="00474CB1">
        <w:rPr>
          <w:rFonts w:ascii="Times New Roman" w:hAnsi="Times New Roman"/>
          <w:b/>
          <w:i/>
        </w:rPr>
        <w:lastRenderedPageBreak/>
        <w:t>zmiana w art. 257 pkt 1</w:t>
      </w:r>
    </w:p>
    <w:p w14:paraId="2AA18256" w14:textId="77777777" w:rsidR="00974A1D" w:rsidRDefault="00974A1D" w:rsidP="00713591">
      <w:pPr>
        <w:spacing w:line="276" w:lineRule="auto"/>
        <w:jc w:val="both"/>
        <w:rPr>
          <w:rFonts w:ascii="Times New Roman" w:hAnsi="Times New Roman"/>
        </w:rPr>
      </w:pPr>
    </w:p>
    <w:p w14:paraId="0673EB4C" w14:textId="3DFC2E59" w:rsidR="00820536" w:rsidRPr="00974A1D" w:rsidRDefault="00820536" w:rsidP="00820536">
      <w:pPr>
        <w:spacing w:line="276" w:lineRule="auto"/>
        <w:jc w:val="both"/>
        <w:rPr>
          <w:rFonts w:ascii="Times New Roman" w:hAnsi="Times New Roman"/>
        </w:rPr>
      </w:pPr>
      <w:r>
        <w:rPr>
          <w:rFonts w:ascii="Times New Roman" w:hAnsi="Times New Roman"/>
        </w:rPr>
        <w:t>Zmiana ma</w:t>
      </w:r>
      <w:r w:rsidRPr="00820536">
        <w:rPr>
          <w:rFonts w:ascii="Times New Roman" w:hAnsi="Times New Roman"/>
        </w:rPr>
        <w:t xml:space="preserve"> na celu uelastycznienie zarzą</w:t>
      </w:r>
      <w:r>
        <w:rPr>
          <w:rFonts w:ascii="Times New Roman" w:hAnsi="Times New Roman"/>
        </w:rPr>
        <w:t xml:space="preserve">dzania budżetami JST. Proponuje </w:t>
      </w:r>
      <w:r w:rsidRPr="00820536">
        <w:rPr>
          <w:rFonts w:ascii="Times New Roman" w:hAnsi="Times New Roman"/>
        </w:rPr>
        <w:t xml:space="preserve">się zmianę dopuszczającą wprowadzenie </w:t>
      </w:r>
      <w:r>
        <w:rPr>
          <w:rFonts w:ascii="Times New Roman" w:hAnsi="Times New Roman"/>
        </w:rPr>
        <w:t xml:space="preserve">przez organ wykonawczy zmian do </w:t>
      </w:r>
      <w:r w:rsidRPr="00820536">
        <w:rPr>
          <w:rFonts w:ascii="Times New Roman" w:hAnsi="Times New Roman"/>
        </w:rPr>
        <w:t>planu dochodów budżetu JST nie tylko w zakresie dotacji</w:t>
      </w:r>
      <w:r w:rsidR="00474CB1">
        <w:rPr>
          <w:rFonts w:ascii="Times New Roman" w:hAnsi="Times New Roman"/>
        </w:rPr>
        <w:t>,</w:t>
      </w:r>
      <w:r w:rsidRPr="00820536">
        <w:rPr>
          <w:rFonts w:ascii="Times New Roman" w:hAnsi="Times New Roman"/>
        </w:rPr>
        <w:t xml:space="preserve"> ale również środków przeznaczonych</w:t>
      </w:r>
      <w:r>
        <w:rPr>
          <w:rFonts w:ascii="Times New Roman" w:hAnsi="Times New Roman"/>
        </w:rPr>
        <w:t xml:space="preserve"> </w:t>
      </w:r>
      <w:r w:rsidRPr="00820536">
        <w:rPr>
          <w:rFonts w:ascii="Times New Roman" w:hAnsi="Times New Roman"/>
        </w:rPr>
        <w:t>na określony cel</w:t>
      </w:r>
      <w:r w:rsidR="00474CB1">
        <w:rPr>
          <w:rFonts w:ascii="Times New Roman" w:hAnsi="Times New Roman"/>
        </w:rPr>
        <w:t>,</w:t>
      </w:r>
      <w:r w:rsidRPr="00820536">
        <w:rPr>
          <w:rFonts w:ascii="Times New Roman" w:hAnsi="Times New Roman"/>
        </w:rPr>
        <w:t xml:space="preserve"> co do których organ stanowiący nie ma swo</w:t>
      </w:r>
      <w:r>
        <w:rPr>
          <w:rFonts w:ascii="Times New Roman" w:hAnsi="Times New Roman"/>
        </w:rPr>
        <w:t xml:space="preserve">body podejmowania decyzji o ich </w:t>
      </w:r>
      <w:r w:rsidRPr="00820536">
        <w:rPr>
          <w:rFonts w:ascii="Times New Roman" w:hAnsi="Times New Roman"/>
        </w:rPr>
        <w:t>przeznaczeniu - bez względu na podmiot przekazujący te środki.</w:t>
      </w:r>
    </w:p>
    <w:p w14:paraId="2592366B" w14:textId="77777777" w:rsidR="001D3BB4" w:rsidRPr="008E5FB3" w:rsidRDefault="001D3BB4" w:rsidP="00713591">
      <w:pPr>
        <w:spacing w:line="276" w:lineRule="auto"/>
        <w:jc w:val="both"/>
        <w:rPr>
          <w:rFonts w:ascii="Times New Roman" w:hAnsi="Times New Roman"/>
        </w:rPr>
      </w:pPr>
    </w:p>
    <w:p w14:paraId="45DCF681" w14:textId="299839EF" w:rsidR="00516483" w:rsidRPr="008E5FB3" w:rsidRDefault="00516483" w:rsidP="00713591">
      <w:pPr>
        <w:spacing w:line="276" w:lineRule="auto"/>
        <w:jc w:val="both"/>
        <w:rPr>
          <w:rFonts w:ascii="Times New Roman" w:hAnsi="Times New Roman"/>
          <w:b/>
          <w:i/>
        </w:rPr>
      </w:pPr>
      <w:r w:rsidRPr="008E5FB3">
        <w:rPr>
          <w:rFonts w:ascii="Times New Roman" w:hAnsi="Times New Roman"/>
          <w:b/>
          <w:i/>
        </w:rPr>
        <w:t>zmiana w art. 258 ust. 1</w:t>
      </w:r>
      <w:r w:rsidR="00E54E04">
        <w:rPr>
          <w:rFonts w:ascii="Times New Roman" w:hAnsi="Times New Roman"/>
          <w:b/>
          <w:i/>
        </w:rPr>
        <w:t>, uchylenie pkt 3</w:t>
      </w:r>
      <w:r w:rsidR="001621E8">
        <w:rPr>
          <w:rFonts w:ascii="Times New Roman" w:hAnsi="Times New Roman"/>
          <w:b/>
          <w:i/>
        </w:rPr>
        <w:t>,</w:t>
      </w:r>
      <w:r w:rsidR="00E54E04">
        <w:rPr>
          <w:rFonts w:ascii="Times New Roman" w:hAnsi="Times New Roman"/>
          <w:b/>
          <w:i/>
        </w:rPr>
        <w:t xml:space="preserve"> zmiana</w:t>
      </w:r>
      <w:r w:rsidR="001621E8">
        <w:rPr>
          <w:rFonts w:ascii="Times New Roman" w:hAnsi="Times New Roman"/>
          <w:b/>
          <w:i/>
        </w:rPr>
        <w:t xml:space="preserve"> </w:t>
      </w:r>
      <w:r w:rsidR="00E54E04">
        <w:rPr>
          <w:rFonts w:ascii="Times New Roman" w:hAnsi="Times New Roman"/>
          <w:b/>
          <w:i/>
        </w:rPr>
        <w:t xml:space="preserve">pkt 4 lit. b oraz dodanie pkt 5 </w:t>
      </w:r>
    </w:p>
    <w:p w14:paraId="685E20F8" w14:textId="77777777" w:rsidR="00516483" w:rsidRPr="008E5FB3" w:rsidRDefault="00516483" w:rsidP="00713591">
      <w:pPr>
        <w:spacing w:line="276" w:lineRule="auto"/>
        <w:jc w:val="both"/>
        <w:rPr>
          <w:rFonts w:ascii="Times New Roman" w:hAnsi="Times New Roman"/>
          <w:b/>
          <w:i/>
        </w:rPr>
      </w:pPr>
    </w:p>
    <w:p w14:paraId="3B2EF8A6" w14:textId="622D6196" w:rsidR="00516483" w:rsidRDefault="00FA1165" w:rsidP="00713591">
      <w:pPr>
        <w:spacing w:line="276" w:lineRule="auto"/>
        <w:jc w:val="both"/>
        <w:rPr>
          <w:rFonts w:ascii="Times New Roman" w:hAnsi="Times New Roman"/>
        </w:rPr>
      </w:pPr>
      <w:r w:rsidRPr="008E5FB3">
        <w:rPr>
          <w:rFonts w:ascii="Times New Roman" w:hAnsi="Times New Roman"/>
        </w:rPr>
        <w:t xml:space="preserve">Art. 258 ust. 1 pkt 3 ustawy o finansach publicznych zawiera delegację dla organu stanowiącego  upoważniającą zarząd do przekazywania uprawnień do zaciągania zobowiązań innym jednostkom organizacyjnym JST z tytułu umów, których realizacja w roku budżetowym i w latach następnych jest niezbędną do zapewnienia ciągłości działania jednostki i z których wynikające płatności wykraczają poza rok budżetowy. Upoważnienie to wynika również z art. 228 ust. 2 ustawy o finansach publicznych. W związku z powyższym mając na uwadze przejrzystość przepisów prawa proponuje się uchylenie pkt 3 </w:t>
      </w:r>
      <w:r w:rsidR="00474CB1">
        <w:rPr>
          <w:rFonts w:ascii="Times New Roman" w:hAnsi="Times New Roman"/>
        </w:rPr>
        <w:t xml:space="preserve">w </w:t>
      </w:r>
      <w:r w:rsidRPr="008E5FB3">
        <w:rPr>
          <w:rFonts w:ascii="Times New Roman" w:hAnsi="Times New Roman"/>
        </w:rPr>
        <w:t>ust. 1 w art. 258. Na potrzebę zmiany wskazują wnioski Krajowej Rady Regionalnych Izb Obrachunkowych zawarte w </w:t>
      </w:r>
      <w:r w:rsidRPr="00D97C25">
        <w:rPr>
          <w:rFonts w:ascii="Times New Roman" w:hAnsi="Times New Roman"/>
          <w:i/>
        </w:rPr>
        <w:t>„Sprawozdaniu z działalności regionalnych izb obrachunkowych i wykonania budżetu przez jednostki samorządu terytorialnego w 2019 roku”.</w:t>
      </w:r>
    </w:p>
    <w:p w14:paraId="5FEECE66" w14:textId="77777777" w:rsidR="002F1532" w:rsidRPr="008E5FB3" w:rsidRDefault="002F1532" w:rsidP="00713591">
      <w:pPr>
        <w:spacing w:line="276" w:lineRule="auto"/>
        <w:jc w:val="both"/>
        <w:rPr>
          <w:rFonts w:ascii="Times New Roman" w:hAnsi="Times New Roman"/>
        </w:rPr>
      </w:pPr>
    </w:p>
    <w:p w14:paraId="663622AB" w14:textId="630216B1" w:rsidR="00516483" w:rsidRPr="008E5FB3" w:rsidRDefault="00FA1165" w:rsidP="00713591">
      <w:pPr>
        <w:spacing w:line="276" w:lineRule="auto"/>
        <w:jc w:val="both"/>
        <w:rPr>
          <w:rFonts w:ascii="Times New Roman" w:hAnsi="Times New Roman"/>
        </w:rPr>
      </w:pPr>
      <w:r w:rsidRPr="008E5FB3">
        <w:rPr>
          <w:rFonts w:ascii="Times New Roman" w:hAnsi="Times New Roman"/>
        </w:rPr>
        <w:t>Proponuje się również nowe brzmienie pkt 4 lit</w:t>
      </w:r>
      <w:r w:rsidR="00474CB1">
        <w:rPr>
          <w:rFonts w:ascii="Times New Roman" w:hAnsi="Times New Roman"/>
        </w:rPr>
        <w:t>.</w:t>
      </w:r>
      <w:r w:rsidRPr="008E5FB3">
        <w:rPr>
          <w:rFonts w:ascii="Times New Roman" w:hAnsi="Times New Roman"/>
        </w:rPr>
        <w:t xml:space="preserve"> b oraz dodanie pkt 5. Zmiany mają na celu usprawnienie realizacji budżetu jednostki samorządu terytorialnego, umożliwiając jego dostosowanie w zakresie potencjalnie niewielkich kwot, które z uwagi na niewielkie znaczenie, mogłyby być przekazane kompetencji zarządu jednostki samorządu terytorialnego. Podobnie jak w przypadku projektowanej zmiany art. 232, kompetencje do upoważnienia zarządu do dokonywania zmian w budżecie należą do organu stanowiącego.</w:t>
      </w:r>
    </w:p>
    <w:p w14:paraId="7A93F85B" w14:textId="77777777" w:rsidR="00FA1165" w:rsidRPr="008E5FB3" w:rsidRDefault="00FA1165" w:rsidP="00713591">
      <w:pPr>
        <w:spacing w:line="276" w:lineRule="auto"/>
        <w:jc w:val="both"/>
        <w:rPr>
          <w:rFonts w:ascii="Times New Roman" w:hAnsi="Times New Roman"/>
        </w:rPr>
      </w:pPr>
    </w:p>
    <w:p w14:paraId="266CC95D" w14:textId="1437C93C" w:rsidR="00FA1165" w:rsidRPr="008E5FB3" w:rsidRDefault="00FA1165" w:rsidP="00713591">
      <w:pPr>
        <w:spacing w:line="276" w:lineRule="auto"/>
        <w:jc w:val="both"/>
        <w:rPr>
          <w:rFonts w:ascii="Times New Roman" w:hAnsi="Times New Roman"/>
          <w:b/>
          <w:i/>
        </w:rPr>
      </w:pPr>
      <w:r w:rsidRPr="008E5FB3">
        <w:rPr>
          <w:rFonts w:ascii="Times New Roman" w:hAnsi="Times New Roman"/>
          <w:b/>
          <w:i/>
        </w:rPr>
        <w:t>zmiana w art. 266</w:t>
      </w:r>
    </w:p>
    <w:p w14:paraId="04D8C80E" w14:textId="77777777" w:rsidR="00FA1165" w:rsidRPr="008E5FB3" w:rsidRDefault="00FA1165" w:rsidP="00713591">
      <w:pPr>
        <w:spacing w:line="276" w:lineRule="auto"/>
        <w:jc w:val="both"/>
        <w:rPr>
          <w:rFonts w:ascii="Times New Roman" w:hAnsi="Times New Roman"/>
        </w:rPr>
      </w:pPr>
    </w:p>
    <w:p w14:paraId="5A7C5C36" w14:textId="77777777" w:rsidR="005C1559" w:rsidRDefault="00FA1165" w:rsidP="00713591">
      <w:pPr>
        <w:spacing w:line="276" w:lineRule="auto"/>
        <w:jc w:val="both"/>
        <w:rPr>
          <w:rFonts w:ascii="Times New Roman" w:hAnsi="Times New Roman"/>
        </w:rPr>
      </w:pPr>
      <w:r w:rsidRPr="008E5FB3">
        <w:rPr>
          <w:rFonts w:ascii="Times New Roman" w:hAnsi="Times New Roman"/>
        </w:rPr>
        <w:t>Zmiana ta ma na celu odbiurokratyzowanie</w:t>
      </w:r>
      <w:r w:rsidR="002F1532">
        <w:rPr>
          <w:rFonts w:ascii="Times New Roman" w:hAnsi="Times New Roman"/>
        </w:rPr>
        <w:t xml:space="preserve"> </w:t>
      </w:r>
      <w:r w:rsidR="00474CB1">
        <w:rPr>
          <w:rFonts w:ascii="Times New Roman" w:hAnsi="Times New Roman"/>
        </w:rPr>
        <w:t xml:space="preserve">przepisów. </w:t>
      </w:r>
      <w:r w:rsidRPr="008E5FB3">
        <w:rPr>
          <w:rFonts w:ascii="Times New Roman" w:hAnsi="Times New Roman"/>
        </w:rPr>
        <w:t xml:space="preserve">Obecnie każdy zarząd jednostki samorządu terytorialnego </w:t>
      </w:r>
      <w:r w:rsidR="00474CB1" w:rsidRPr="008E5FB3">
        <w:rPr>
          <w:rFonts w:ascii="Times New Roman" w:hAnsi="Times New Roman"/>
        </w:rPr>
        <w:t xml:space="preserve">jest </w:t>
      </w:r>
      <w:r w:rsidRPr="008E5FB3">
        <w:rPr>
          <w:rFonts w:ascii="Times New Roman" w:hAnsi="Times New Roman"/>
        </w:rPr>
        <w:t xml:space="preserve">zobligowany do przedstawiania organowi stanowiącemu </w:t>
      </w:r>
      <w:r w:rsidR="00474CB1" w:rsidRPr="008E5FB3">
        <w:rPr>
          <w:rFonts w:ascii="Times New Roman" w:hAnsi="Times New Roman"/>
        </w:rPr>
        <w:t>jednostki samorządu terytorialnego</w:t>
      </w:r>
      <w:r w:rsidR="00474CB1" w:rsidRPr="008E5FB3" w:rsidDel="00474CB1">
        <w:rPr>
          <w:rFonts w:ascii="Times New Roman" w:hAnsi="Times New Roman"/>
        </w:rPr>
        <w:t xml:space="preserve"> </w:t>
      </w:r>
      <w:r w:rsidRPr="008E5FB3">
        <w:rPr>
          <w:rFonts w:ascii="Times New Roman" w:hAnsi="Times New Roman"/>
        </w:rPr>
        <w:t xml:space="preserve">informacji, o których mowa w art. 266. Proponuje się, </w:t>
      </w:r>
      <w:r w:rsidR="00474CB1">
        <w:rPr>
          <w:rFonts w:ascii="Times New Roman" w:hAnsi="Times New Roman"/>
        </w:rPr>
        <w:t>a</w:t>
      </w:r>
      <w:r w:rsidRPr="008E5FB3">
        <w:rPr>
          <w:rFonts w:ascii="Times New Roman" w:hAnsi="Times New Roman"/>
        </w:rPr>
        <w:t xml:space="preserve">by </w:t>
      </w:r>
      <w:r w:rsidR="00474CB1">
        <w:rPr>
          <w:rFonts w:ascii="Times New Roman" w:hAnsi="Times New Roman"/>
        </w:rPr>
        <w:t xml:space="preserve"> rozwiązanie  te</w:t>
      </w:r>
      <w:r w:rsidRPr="008E5FB3">
        <w:rPr>
          <w:rFonts w:ascii="Times New Roman" w:hAnsi="Times New Roman"/>
        </w:rPr>
        <w:t xml:space="preserve"> </w:t>
      </w:r>
      <w:r w:rsidR="00474CB1">
        <w:rPr>
          <w:rFonts w:ascii="Times New Roman" w:hAnsi="Times New Roman"/>
        </w:rPr>
        <w:t xml:space="preserve">było </w:t>
      </w:r>
      <w:r w:rsidRPr="008E5FB3">
        <w:rPr>
          <w:rFonts w:ascii="Times New Roman" w:hAnsi="Times New Roman"/>
        </w:rPr>
        <w:t>fakultatywn</w:t>
      </w:r>
      <w:r w:rsidR="00474CB1">
        <w:rPr>
          <w:rFonts w:ascii="Times New Roman" w:hAnsi="Times New Roman"/>
        </w:rPr>
        <w:t>e</w:t>
      </w:r>
      <w:r w:rsidRPr="008E5FB3">
        <w:rPr>
          <w:rFonts w:ascii="Times New Roman" w:hAnsi="Times New Roman"/>
        </w:rPr>
        <w:t xml:space="preserve">, </w:t>
      </w:r>
      <w:r w:rsidR="00474CB1">
        <w:rPr>
          <w:rFonts w:ascii="Times New Roman" w:hAnsi="Times New Roman"/>
        </w:rPr>
        <w:t xml:space="preserve">tj. </w:t>
      </w:r>
      <w:r w:rsidRPr="008E5FB3">
        <w:rPr>
          <w:rFonts w:ascii="Times New Roman" w:hAnsi="Times New Roman"/>
        </w:rPr>
        <w:t>uzależnion</w:t>
      </w:r>
      <w:r w:rsidR="00474CB1">
        <w:rPr>
          <w:rFonts w:ascii="Times New Roman" w:hAnsi="Times New Roman"/>
        </w:rPr>
        <w:t>e</w:t>
      </w:r>
      <w:r w:rsidRPr="008E5FB3">
        <w:rPr>
          <w:rFonts w:ascii="Times New Roman" w:hAnsi="Times New Roman"/>
        </w:rPr>
        <w:t xml:space="preserve"> od woli organu stanowiącego. Z uwagi na konieczność monitorowania sytuacji finansowej jednostek, w których wystąpiło zagrożenie realizacji zadań publicznych, obowiązek przedstawiania informacji określonych w art. 266 ustawy pozostanie bez zmian.</w:t>
      </w:r>
    </w:p>
    <w:p w14:paraId="23FA29E4" w14:textId="77777777" w:rsidR="00D97C25" w:rsidRDefault="00D97C25" w:rsidP="00713591">
      <w:pPr>
        <w:spacing w:line="276" w:lineRule="auto"/>
        <w:jc w:val="both"/>
        <w:rPr>
          <w:rFonts w:ascii="Times New Roman" w:hAnsi="Times New Roman"/>
        </w:rPr>
      </w:pPr>
    </w:p>
    <w:p w14:paraId="7D18F6AD" w14:textId="6FEA574F" w:rsidR="00FA1165" w:rsidRPr="005C1559" w:rsidRDefault="00FA1165" w:rsidP="00713591">
      <w:pPr>
        <w:spacing w:line="276" w:lineRule="auto"/>
        <w:jc w:val="both"/>
        <w:rPr>
          <w:rFonts w:ascii="Times New Roman" w:hAnsi="Times New Roman"/>
        </w:rPr>
      </w:pPr>
      <w:r w:rsidRPr="008E5FB3">
        <w:rPr>
          <w:rFonts w:ascii="Times New Roman" w:hAnsi="Times New Roman"/>
          <w:b/>
          <w:i/>
        </w:rPr>
        <w:t>zmiana w art. 270 ust. 2</w:t>
      </w:r>
      <w:r w:rsidR="00494FBF">
        <w:rPr>
          <w:rFonts w:ascii="Times New Roman" w:hAnsi="Times New Roman"/>
          <w:b/>
          <w:i/>
        </w:rPr>
        <w:t xml:space="preserve"> i 3</w:t>
      </w:r>
      <w:r w:rsidRPr="008E5FB3">
        <w:rPr>
          <w:rFonts w:ascii="Times New Roman" w:hAnsi="Times New Roman"/>
          <w:b/>
          <w:i/>
        </w:rPr>
        <w:t xml:space="preserve"> oraz w art. 271 ust. 1</w:t>
      </w:r>
      <w:r w:rsidR="00714131">
        <w:rPr>
          <w:rFonts w:ascii="Times New Roman" w:hAnsi="Times New Roman"/>
          <w:b/>
          <w:i/>
        </w:rPr>
        <w:t xml:space="preserve"> dodanie pkt 7</w:t>
      </w:r>
    </w:p>
    <w:p w14:paraId="39D9F09D" w14:textId="77777777" w:rsidR="00FA1165" w:rsidRPr="008E5FB3" w:rsidRDefault="00FA1165" w:rsidP="00713591">
      <w:pPr>
        <w:spacing w:line="276" w:lineRule="auto"/>
        <w:jc w:val="both"/>
        <w:rPr>
          <w:rFonts w:ascii="Times New Roman" w:hAnsi="Times New Roman"/>
        </w:rPr>
      </w:pPr>
    </w:p>
    <w:p w14:paraId="36279E1A" w14:textId="29FE7E6E" w:rsidR="008650E5" w:rsidRDefault="008650E5" w:rsidP="00713591">
      <w:pPr>
        <w:spacing w:line="276" w:lineRule="auto"/>
        <w:jc w:val="both"/>
        <w:rPr>
          <w:rFonts w:ascii="Times New Roman" w:hAnsi="Times New Roman"/>
        </w:rPr>
      </w:pPr>
      <w:r w:rsidRPr="008E5FB3">
        <w:rPr>
          <w:rFonts w:ascii="Times New Roman" w:hAnsi="Times New Roman"/>
        </w:rPr>
        <w:t xml:space="preserve">Celem zmian jest doprecyzowanie przepisów dotyczących procedury absolutoryjnej. </w:t>
      </w:r>
    </w:p>
    <w:p w14:paraId="6BC75CB1" w14:textId="77777777" w:rsidR="00D12A3C" w:rsidRPr="008E5FB3" w:rsidRDefault="00D12A3C" w:rsidP="00713591">
      <w:pPr>
        <w:spacing w:line="276" w:lineRule="auto"/>
        <w:jc w:val="both"/>
        <w:rPr>
          <w:rFonts w:ascii="Times New Roman" w:hAnsi="Times New Roman"/>
        </w:rPr>
      </w:pPr>
    </w:p>
    <w:p w14:paraId="28E928CF" w14:textId="4AEF849A" w:rsidR="008650E5" w:rsidRDefault="00474CB1" w:rsidP="00474CB1">
      <w:pPr>
        <w:spacing w:line="276" w:lineRule="auto"/>
        <w:jc w:val="both"/>
        <w:rPr>
          <w:rFonts w:ascii="Times New Roman" w:hAnsi="Times New Roman"/>
        </w:rPr>
      </w:pPr>
      <w:r w:rsidRPr="00474CB1">
        <w:rPr>
          <w:rFonts w:ascii="Times New Roman" w:hAnsi="Times New Roman"/>
        </w:rPr>
        <w:t xml:space="preserve">Ustawa z dnia 7 października 1992 r. </w:t>
      </w:r>
      <w:r w:rsidRPr="00FB28B4">
        <w:rPr>
          <w:rFonts w:ascii="Times New Roman" w:hAnsi="Times New Roman"/>
          <w:i/>
        </w:rPr>
        <w:t>o regionalnych izbach obrachunkowych</w:t>
      </w:r>
      <w:r w:rsidRPr="00474CB1">
        <w:rPr>
          <w:rFonts w:ascii="Times New Roman" w:hAnsi="Times New Roman"/>
        </w:rPr>
        <w:t xml:space="preserve"> </w:t>
      </w:r>
      <w:r w:rsidR="00FB28B4">
        <w:rPr>
          <w:rFonts w:ascii="Times New Roman" w:hAnsi="Times New Roman"/>
        </w:rPr>
        <w:t xml:space="preserve">(Dz. U. z 2019 r. poz. 2137, z </w:t>
      </w:r>
      <w:proofErr w:type="spellStart"/>
      <w:r w:rsidR="00FB28B4">
        <w:rPr>
          <w:rFonts w:ascii="Times New Roman" w:hAnsi="Times New Roman"/>
        </w:rPr>
        <w:t>późn</w:t>
      </w:r>
      <w:proofErr w:type="spellEnd"/>
      <w:r w:rsidR="00FB28B4">
        <w:rPr>
          <w:rFonts w:ascii="Times New Roman" w:hAnsi="Times New Roman"/>
        </w:rPr>
        <w:t xml:space="preserve">. zm.) </w:t>
      </w:r>
      <w:r w:rsidR="008650E5" w:rsidRPr="008E5FB3">
        <w:rPr>
          <w:rFonts w:ascii="Times New Roman" w:hAnsi="Times New Roman"/>
        </w:rPr>
        <w:t xml:space="preserve">do zadań izby zalicza m.in. opiniowanie wniosków komisji rewizyjnej </w:t>
      </w:r>
      <w:r w:rsidR="008650E5" w:rsidRPr="008E5FB3">
        <w:rPr>
          <w:rFonts w:ascii="Times New Roman" w:hAnsi="Times New Roman"/>
        </w:rPr>
        <w:lastRenderedPageBreak/>
        <w:t>w sprawie absolutorium (art. 13 pkt 8), natomiast w art. 271 ustawy o finansach publicznych</w:t>
      </w:r>
      <w:r w:rsidR="002F1532">
        <w:rPr>
          <w:rFonts w:ascii="Times New Roman" w:hAnsi="Times New Roman"/>
        </w:rPr>
        <w:t>,</w:t>
      </w:r>
      <w:r w:rsidR="008650E5" w:rsidRPr="008E5FB3">
        <w:rPr>
          <w:rFonts w:ascii="Times New Roman" w:hAnsi="Times New Roman"/>
        </w:rPr>
        <w:t xml:space="preserve"> opinia izby o wniosku komisji rewizyjnej nie została wymieniona jako obowiązkowy dokument, z którym powinien zapoznać się organ stanowiący </w:t>
      </w:r>
      <w:r w:rsidR="002F1532">
        <w:rPr>
          <w:rFonts w:ascii="Times New Roman" w:hAnsi="Times New Roman"/>
        </w:rPr>
        <w:t>jednostki samorządu terytorialnego</w:t>
      </w:r>
      <w:r w:rsidR="008650E5" w:rsidRPr="008E5FB3">
        <w:rPr>
          <w:rFonts w:ascii="Times New Roman" w:hAnsi="Times New Roman"/>
        </w:rPr>
        <w:t xml:space="preserve"> przed podjęciem uchwały w sprawie absolutorium. </w:t>
      </w:r>
      <w:r w:rsidR="002F1532">
        <w:rPr>
          <w:rFonts w:ascii="Times New Roman" w:hAnsi="Times New Roman"/>
        </w:rPr>
        <w:t>P</w:t>
      </w:r>
      <w:r w:rsidR="008650E5" w:rsidRPr="008E5FB3">
        <w:rPr>
          <w:rFonts w:ascii="Times New Roman" w:hAnsi="Times New Roman"/>
        </w:rPr>
        <w:t xml:space="preserve">roponuje się </w:t>
      </w:r>
      <w:r w:rsidR="002F1532">
        <w:rPr>
          <w:rFonts w:ascii="Times New Roman" w:hAnsi="Times New Roman"/>
        </w:rPr>
        <w:t xml:space="preserve">zatem </w:t>
      </w:r>
      <w:r w:rsidR="008650E5" w:rsidRPr="008E5FB3">
        <w:rPr>
          <w:rFonts w:ascii="Times New Roman" w:hAnsi="Times New Roman"/>
        </w:rPr>
        <w:t xml:space="preserve">uzupełnienie dokumentów, z którymi powinien zapoznać się organ stanowiący </w:t>
      </w:r>
      <w:r w:rsidR="002F1532">
        <w:rPr>
          <w:rFonts w:ascii="Times New Roman" w:hAnsi="Times New Roman"/>
        </w:rPr>
        <w:t>jednostki samorządu terytorialnego</w:t>
      </w:r>
      <w:r w:rsidR="002F1532" w:rsidRPr="008E5FB3">
        <w:rPr>
          <w:rFonts w:ascii="Times New Roman" w:hAnsi="Times New Roman"/>
        </w:rPr>
        <w:t xml:space="preserve"> </w:t>
      </w:r>
      <w:r w:rsidR="008650E5" w:rsidRPr="008E5FB3">
        <w:rPr>
          <w:rFonts w:ascii="Times New Roman" w:hAnsi="Times New Roman"/>
        </w:rPr>
        <w:t xml:space="preserve">przed podjęciem uchwały w sprawie absolutorium </w:t>
      </w:r>
      <w:r w:rsidR="002F1532">
        <w:rPr>
          <w:rFonts w:ascii="Times New Roman" w:hAnsi="Times New Roman"/>
        </w:rPr>
        <w:t xml:space="preserve">- </w:t>
      </w:r>
      <w:r w:rsidR="008650E5" w:rsidRPr="008E5FB3">
        <w:rPr>
          <w:rFonts w:ascii="Times New Roman" w:hAnsi="Times New Roman"/>
        </w:rPr>
        <w:t>o opinię regionalnej izby obrach</w:t>
      </w:r>
      <w:r w:rsidR="00D12A3C">
        <w:rPr>
          <w:rFonts w:ascii="Times New Roman" w:hAnsi="Times New Roman"/>
        </w:rPr>
        <w:t>unkowej o </w:t>
      </w:r>
      <w:r w:rsidR="008650E5" w:rsidRPr="008E5FB3">
        <w:rPr>
          <w:rFonts w:ascii="Times New Roman" w:hAnsi="Times New Roman"/>
        </w:rPr>
        <w:t>wniosku komisji rewizyjnej w</w:t>
      </w:r>
      <w:r w:rsidR="00225EF3">
        <w:rPr>
          <w:rFonts w:ascii="Times New Roman" w:hAnsi="Times New Roman"/>
        </w:rPr>
        <w:t> </w:t>
      </w:r>
      <w:r w:rsidR="008650E5" w:rsidRPr="008E5FB3">
        <w:rPr>
          <w:rFonts w:ascii="Times New Roman" w:hAnsi="Times New Roman"/>
        </w:rPr>
        <w:t>sprawie absolutorium dla zarządu.</w:t>
      </w:r>
    </w:p>
    <w:p w14:paraId="29EFB389" w14:textId="77777777" w:rsidR="00D12A3C" w:rsidRPr="008E5FB3" w:rsidRDefault="00D12A3C" w:rsidP="00713591">
      <w:pPr>
        <w:spacing w:line="276" w:lineRule="auto"/>
        <w:jc w:val="both"/>
        <w:rPr>
          <w:rFonts w:ascii="Times New Roman" w:hAnsi="Times New Roman"/>
        </w:rPr>
      </w:pPr>
    </w:p>
    <w:p w14:paraId="7BCA01C2" w14:textId="5D405A2B" w:rsidR="00FA1165" w:rsidRPr="008E5FB3" w:rsidRDefault="008650E5" w:rsidP="00713591">
      <w:pPr>
        <w:spacing w:line="276" w:lineRule="auto"/>
        <w:jc w:val="both"/>
        <w:rPr>
          <w:rFonts w:ascii="Times New Roman" w:hAnsi="Times New Roman"/>
        </w:rPr>
      </w:pPr>
      <w:r w:rsidRPr="008E5FB3">
        <w:rPr>
          <w:rFonts w:ascii="Times New Roman" w:hAnsi="Times New Roman"/>
        </w:rPr>
        <w:t xml:space="preserve">Podobna rozbieżność ma miejsce w przypadku opiniowania </w:t>
      </w:r>
      <w:r w:rsidR="002F1532" w:rsidRPr="008E5FB3">
        <w:rPr>
          <w:rFonts w:ascii="Times New Roman" w:hAnsi="Times New Roman"/>
        </w:rPr>
        <w:t xml:space="preserve">informacji o stanie mienia </w:t>
      </w:r>
      <w:r w:rsidR="002F1532">
        <w:rPr>
          <w:rFonts w:ascii="Times New Roman" w:hAnsi="Times New Roman"/>
        </w:rPr>
        <w:t xml:space="preserve">jednostki samorządu terytorialnego </w:t>
      </w:r>
      <w:r w:rsidRPr="008E5FB3">
        <w:rPr>
          <w:rFonts w:ascii="Times New Roman" w:hAnsi="Times New Roman"/>
        </w:rPr>
        <w:t>przez regionalne izby obrachunkowe</w:t>
      </w:r>
      <w:r w:rsidR="002F1532">
        <w:rPr>
          <w:rFonts w:ascii="Times New Roman" w:hAnsi="Times New Roman"/>
        </w:rPr>
        <w:t>.</w:t>
      </w:r>
      <w:r w:rsidRPr="008E5FB3">
        <w:rPr>
          <w:rFonts w:ascii="Times New Roman" w:hAnsi="Times New Roman"/>
        </w:rPr>
        <w:t xml:space="preserve"> </w:t>
      </w:r>
    </w:p>
    <w:p w14:paraId="51537EB8" w14:textId="77777777" w:rsidR="005B7279" w:rsidRDefault="005B7279" w:rsidP="00713591">
      <w:pPr>
        <w:spacing w:line="276" w:lineRule="auto"/>
        <w:jc w:val="both"/>
        <w:rPr>
          <w:rFonts w:ascii="Times New Roman" w:hAnsi="Times New Roman"/>
        </w:rPr>
      </w:pPr>
    </w:p>
    <w:p w14:paraId="7CD2CE08" w14:textId="0BA0D1BD" w:rsidR="00CB4517" w:rsidRPr="00EA5A8C" w:rsidRDefault="00170BC2" w:rsidP="00713591">
      <w:pPr>
        <w:spacing w:line="276" w:lineRule="auto"/>
        <w:jc w:val="both"/>
        <w:rPr>
          <w:rFonts w:asciiTheme="majorBidi" w:hAnsiTheme="majorBidi" w:cstheme="majorBidi"/>
          <w:b/>
          <w:spacing w:val="-2"/>
          <w:u w:val="single"/>
        </w:rPr>
      </w:pPr>
      <w:r w:rsidRPr="00EA5A8C">
        <w:rPr>
          <w:rFonts w:asciiTheme="majorBidi" w:hAnsiTheme="majorBidi" w:cstheme="majorBidi"/>
          <w:b/>
          <w:spacing w:val="-2"/>
          <w:u w:val="single"/>
        </w:rPr>
        <w:t>Kontrola zarządcza</w:t>
      </w:r>
      <w:r w:rsidR="001545C2">
        <w:rPr>
          <w:rFonts w:asciiTheme="majorBidi" w:hAnsiTheme="majorBidi" w:cstheme="majorBidi"/>
          <w:b/>
          <w:spacing w:val="-2"/>
          <w:u w:val="single"/>
        </w:rPr>
        <w:t>, przeglądy wydatków</w:t>
      </w:r>
      <w:r w:rsidRPr="00EA5A8C">
        <w:rPr>
          <w:rFonts w:asciiTheme="majorBidi" w:hAnsiTheme="majorBidi" w:cstheme="majorBidi"/>
          <w:b/>
          <w:spacing w:val="-2"/>
          <w:u w:val="single"/>
        </w:rPr>
        <w:t xml:space="preserve"> i audyt wewnętrzny</w:t>
      </w:r>
    </w:p>
    <w:p w14:paraId="2529F241" w14:textId="77777777" w:rsidR="00170BC2" w:rsidRDefault="00170BC2" w:rsidP="00713591">
      <w:pPr>
        <w:spacing w:line="276" w:lineRule="auto"/>
        <w:jc w:val="both"/>
        <w:rPr>
          <w:rFonts w:ascii="Times New Roman" w:hAnsi="Times New Roman"/>
        </w:rPr>
      </w:pPr>
    </w:p>
    <w:p w14:paraId="1235EF7C" w14:textId="3B6C0732" w:rsidR="00EA5A8C" w:rsidRDefault="00EA5A8C" w:rsidP="00713591">
      <w:pPr>
        <w:spacing w:line="276" w:lineRule="auto"/>
        <w:jc w:val="both"/>
        <w:rPr>
          <w:rFonts w:ascii="Times New Roman" w:hAnsi="Times New Roman"/>
          <w:b/>
          <w:i/>
        </w:rPr>
      </w:pPr>
      <w:r>
        <w:rPr>
          <w:rFonts w:ascii="Times New Roman" w:hAnsi="Times New Roman"/>
          <w:b/>
          <w:i/>
        </w:rPr>
        <w:t xml:space="preserve">zmiana w </w:t>
      </w:r>
      <w:r w:rsidRPr="006975F4">
        <w:rPr>
          <w:rFonts w:ascii="Times New Roman" w:hAnsi="Times New Roman"/>
          <w:b/>
          <w:i/>
        </w:rPr>
        <w:t>art. 70</w:t>
      </w:r>
      <w:r w:rsidR="00714131">
        <w:rPr>
          <w:rFonts w:ascii="Times New Roman" w:hAnsi="Times New Roman"/>
          <w:b/>
          <w:i/>
        </w:rPr>
        <w:t xml:space="preserve"> ust. 2 i dodanie ust 2, 3a i 3b, zmiana ust. 4 i dodanie ust. 4a i 4b oraz zmiana ust. 6 i 7</w:t>
      </w:r>
    </w:p>
    <w:p w14:paraId="05AB2B11" w14:textId="77777777" w:rsidR="001938CC" w:rsidRPr="00FB28B4" w:rsidRDefault="001938CC" w:rsidP="00C90852">
      <w:pPr>
        <w:spacing w:before="120" w:after="120" w:line="276" w:lineRule="auto"/>
        <w:jc w:val="both"/>
        <w:rPr>
          <w:rFonts w:ascii="Times New Roman" w:eastAsiaTheme="minorHAnsi" w:hAnsi="Times New Roman"/>
        </w:rPr>
      </w:pPr>
      <w:r w:rsidRPr="00FB28B4">
        <w:rPr>
          <w:rFonts w:ascii="Times New Roman" w:eastAsiaTheme="minorHAnsi" w:hAnsi="Times New Roman"/>
        </w:rPr>
        <w:t>Projektodawca w odniesieniu do art. 70 proponuje nowe brzmienie ust. 2, ust. 4, ust. 6 i ust. 7 oraz dodanie ust. 2a, 3a, 3b, 4a i 4b.</w:t>
      </w:r>
    </w:p>
    <w:p w14:paraId="129FCD0C" w14:textId="77777777" w:rsidR="001938CC" w:rsidRPr="00D97C25" w:rsidRDefault="001938CC" w:rsidP="00B42069">
      <w:pPr>
        <w:spacing w:before="120" w:line="276" w:lineRule="auto"/>
        <w:jc w:val="both"/>
        <w:rPr>
          <w:rFonts w:ascii="Times New Roman" w:eastAsiaTheme="minorHAnsi" w:hAnsi="Times New Roman"/>
        </w:rPr>
      </w:pPr>
      <w:r w:rsidRPr="00D97C25">
        <w:rPr>
          <w:rFonts w:ascii="Times New Roman" w:eastAsiaTheme="minorHAnsi" w:hAnsi="Times New Roman"/>
        </w:rPr>
        <w:t>a) ust. 2</w:t>
      </w:r>
    </w:p>
    <w:p w14:paraId="1789FCBC" w14:textId="65BA0ACF"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Projektowane nowe brzmienie przepisu </w:t>
      </w:r>
      <w:r w:rsidR="00994A98">
        <w:rPr>
          <w:rFonts w:ascii="Times New Roman" w:eastAsiaTheme="minorHAnsi" w:hAnsi="Times New Roman"/>
        </w:rPr>
        <w:t xml:space="preserve"> wskazuje na</w:t>
      </w:r>
      <w:r w:rsidRPr="001938CC">
        <w:rPr>
          <w:rFonts w:ascii="Times New Roman" w:eastAsiaTheme="minorHAnsi" w:hAnsi="Times New Roman"/>
        </w:rPr>
        <w:t xml:space="preserve"> minimalny zakres informacji określonych w planie działalności. W odróżnieniu od dotychczas obowiązujących regulacji zdecydowano się na uproszczenie procesu planowania poprzez odstąpienie od wykazywania na potrzeby sporządzania planów działalności celów i mierników określonych na potrzeby planowania i sprawozdawczości w układzie zadaniowym. Uzasadnione jest to operacyjnym charakterem sporządzanych planów działalności. </w:t>
      </w:r>
    </w:p>
    <w:p w14:paraId="23B174B1" w14:textId="2D3D950C" w:rsidR="001938CC" w:rsidRPr="001938CC" w:rsidRDefault="001938CC">
      <w:pPr>
        <w:spacing w:before="120" w:line="276" w:lineRule="auto"/>
        <w:jc w:val="both"/>
        <w:rPr>
          <w:rFonts w:ascii="Times New Roman" w:eastAsiaTheme="minorHAnsi" w:hAnsi="Times New Roman"/>
        </w:rPr>
      </w:pPr>
      <w:r w:rsidRPr="001938CC">
        <w:rPr>
          <w:rFonts w:ascii="Times New Roman" w:eastAsiaTheme="minorHAnsi" w:hAnsi="Times New Roman"/>
        </w:rPr>
        <w:t xml:space="preserve">Cele operacyjne na potrzeby planowania działalności w zakresie kontroli zarządczej wyznaczane będą w oparciu o zakres spraw dla działu administracji rządowej, określony w  przepisach ustawy z dnia 4 września 1997 r. </w:t>
      </w:r>
      <w:r w:rsidRPr="001938CC">
        <w:rPr>
          <w:rFonts w:ascii="Times New Roman" w:eastAsiaTheme="minorHAnsi" w:hAnsi="Times New Roman"/>
          <w:i/>
          <w:iCs/>
        </w:rPr>
        <w:t>o działach administracji rządowej</w:t>
      </w:r>
      <w:r w:rsidRPr="001938CC">
        <w:rPr>
          <w:rFonts w:ascii="Times New Roman" w:eastAsiaTheme="minorHAnsi" w:hAnsi="Times New Roman"/>
          <w:iCs/>
          <w:vertAlign w:val="superscript"/>
        </w:rPr>
        <w:footnoteReference w:id="1"/>
      </w:r>
      <w:r w:rsidRPr="001938CC">
        <w:rPr>
          <w:rFonts w:ascii="Times New Roman" w:eastAsiaTheme="minorHAnsi" w:hAnsi="Times New Roman"/>
        </w:rPr>
        <w:t xml:space="preserve">. W związku z realizacją obowiązków w zakresie inicjowania, opracowywania i realizowania polityki Rady Ministrów w stosunku do działu, którym kieruje, właściwy minister </w:t>
      </w:r>
      <w:r w:rsidR="00994A98">
        <w:rPr>
          <w:rFonts w:ascii="Times New Roman" w:eastAsiaTheme="minorHAnsi" w:hAnsi="Times New Roman"/>
        </w:rPr>
        <w:t>określać</w:t>
      </w:r>
      <w:r w:rsidRPr="001938CC">
        <w:rPr>
          <w:rFonts w:ascii="Times New Roman" w:eastAsiaTheme="minorHAnsi" w:hAnsi="Times New Roman"/>
        </w:rPr>
        <w:t xml:space="preserve"> będzie cele o charakterze operacyjnym odnoszące się do poszczególnych spraw opisanych w zakresie danego działu. </w:t>
      </w:r>
    </w:p>
    <w:p w14:paraId="69D66D36" w14:textId="77777777" w:rsidR="001938CC" w:rsidRPr="001938CC" w:rsidRDefault="001938CC">
      <w:pPr>
        <w:spacing w:after="120" w:line="276" w:lineRule="auto"/>
        <w:jc w:val="both"/>
        <w:rPr>
          <w:rFonts w:ascii="Times New Roman" w:eastAsiaTheme="minorHAnsi" w:hAnsi="Times New Roman"/>
        </w:rPr>
      </w:pPr>
      <w:r w:rsidRPr="001938CC">
        <w:rPr>
          <w:rFonts w:ascii="Times New Roman" w:eastAsiaTheme="minorHAnsi" w:hAnsi="Times New Roman"/>
        </w:rPr>
        <w:t xml:space="preserve">Przyjęte przez projektodawcę rozwiązania wpisują się w obowiązki członka Rady Ministrów określone w art. </w:t>
      </w:r>
      <w:r w:rsidRPr="00FB28B4">
        <w:rPr>
          <w:rFonts w:ascii="Times New Roman" w:eastAsiaTheme="minorHAnsi" w:hAnsi="Times New Roman"/>
        </w:rPr>
        <w:t>7 ust. 1</w:t>
      </w:r>
      <w:r w:rsidRPr="001938CC">
        <w:rPr>
          <w:rFonts w:ascii="Times New Roman" w:eastAsiaTheme="minorHAnsi" w:hAnsi="Times New Roman"/>
        </w:rPr>
        <w:t xml:space="preserve"> ustawy z dnia 8 sierpnia 1996 r. </w:t>
      </w:r>
      <w:r w:rsidRPr="001938CC">
        <w:rPr>
          <w:rFonts w:ascii="Times New Roman" w:eastAsiaTheme="minorHAnsi" w:hAnsi="Times New Roman"/>
          <w:i/>
        </w:rPr>
        <w:t>o Radzie Ministrów</w:t>
      </w:r>
      <w:r w:rsidRPr="001938CC">
        <w:rPr>
          <w:rFonts w:ascii="Times New Roman" w:eastAsiaTheme="minorHAnsi" w:hAnsi="Times New Roman"/>
          <w:iCs/>
          <w:vertAlign w:val="superscript"/>
        </w:rPr>
        <w:footnoteReference w:id="2"/>
      </w:r>
      <w:r w:rsidRPr="001938CC">
        <w:rPr>
          <w:rFonts w:ascii="Times New Roman" w:eastAsiaTheme="minorHAnsi" w:hAnsi="Times New Roman"/>
        </w:rPr>
        <w:t xml:space="preserve">, zgodnie z którym członek Rady Ministrów m.in. uczestniczy, na zasadach określonych w Konstytucji Rzeczypospolitej Polskiej, w ustalaniu polityki państwa, ponosząc odpowiedzialność za treść i za realizację działań Rządu w trybie i na zasadach określonych w odrębnych przepisach. Ponadto na mocy </w:t>
      </w:r>
      <w:r w:rsidRPr="00FB28B4">
        <w:rPr>
          <w:rFonts w:ascii="Times New Roman" w:eastAsiaTheme="minorHAnsi" w:hAnsi="Times New Roman"/>
        </w:rPr>
        <w:t>art. 7 ust. 2</w:t>
      </w:r>
      <w:r w:rsidRPr="001938CC">
        <w:rPr>
          <w:rFonts w:ascii="Times New Roman" w:eastAsiaTheme="minorHAnsi" w:hAnsi="Times New Roman"/>
        </w:rPr>
        <w:t xml:space="preserve"> ww. ustawy członek Rady Ministrów jest obowiązany, w zakresie swojego działania, do inicjowania i opracowywania polityki Rządu, a także przedkładania inicjatyw, projektów założeń, projektów ustaw i projektów aktów normatywnych na </w:t>
      </w:r>
      <w:r w:rsidRPr="001938CC">
        <w:rPr>
          <w:rFonts w:ascii="Times New Roman" w:eastAsiaTheme="minorHAnsi" w:hAnsi="Times New Roman"/>
        </w:rPr>
        <w:lastRenderedPageBreak/>
        <w:t xml:space="preserve">posiedzenia Rady Ministrów –  na zasadach i w trybie określonych w regulaminie pracy Rady Ministrów. </w:t>
      </w:r>
    </w:p>
    <w:p w14:paraId="62289252" w14:textId="77777777" w:rsidR="001938CC" w:rsidRPr="001938CC" w:rsidRDefault="001938CC">
      <w:pPr>
        <w:spacing w:after="120" w:line="276" w:lineRule="auto"/>
        <w:jc w:val="both"/>
        <w:rPr>
          <w:rFonts w:ascii="Times New Roman" w:eastAsiaTheme="minorHAnsi" w:hAnsi="Times New Roman"/>
        </w:rPr>
      </w:pPr>
      <w:r w:rsidRPr="001938CC">
        <w:rPr>
          <w:rFonts w:ascii="Times New Roman" w:eastAsiaTheme="minorHAnsi" w:hAnsi="Times New Roman"/>
        </w:rPr>
        <w:t>Ponadto zmiana zakresu planu działalności powinna także wyeliminować problemy interpretacyjne wskazane m.in. przez Najwyższą Izbę Kontroli, w wynikach kontroli „</w:t>
      </w:r>
      <w:r w:rsidRPr="001938CC">
        <w:rPr>
          <w:rFonts w:ascii="Times New Roman" w:eastAsiaTheme="minorHAnsi" w:hAnsi="Times New Roman"/>
          <w:i/>
        </w:rPr>
        <w:t>Planowanie i realizacja zadaniowego układu wydatków w kontekście reformy systemu budżetowego</w:t>
      </w:r>
      <w:r w:rsidRPr="001938CC">
        <w:rPr>
          <w:rFonts w:ascii="Times New Roman" w:eastAsiaTheme="minorHAnsi" w:hAnsi="Times New Roman"/>
        </w:rPr>
        <w:t>”</w:t>
      </w:r>
      <w:r w:rsidRPr="001938CC">
        <w:rPr>
          <w:rFonts w:ascii="Times New Roman" w:eastAsiaTheme="minorHAnsi" w:hAnsi="Times New Roman"/>
          <w:iCs/>
          <w:vertAlign w:val="superscript"/>
        </w:rPr>
        <w:footnoteReference w:id="3"/>
      </w:r>
      <w:r w:rsidRPr="001938CC">
        <w:rPr>
          <w:rFonts w:ascii="Times New Roman" w:eastAsiaTheme="minorHAnsi" w:hAnsi="Times New Roman"/>
        </w:rPr>
        <w:t>, w szczególności w zakresie terminologii wykorzystywanej na potrzeby planu działalności oraz konstrukcji samego formularza. W celu wzmocnienia zasad rozliczalności przepis zakłada również, że plan działalności zawierać będzie informacje o podmiotach odpowiedzialnych za realizację działań służących osiągnięciu celów wyznaczonych przez ministra.</w:t>
      </w:r>
    </w:p>
    <w:p w14:paraId="49824E99" w14:textId="77777777" w:rsidR="001938CC" w:rsidRPr="001938CC" w:rsidRDefault="001938CC">
      <w:pPr>
        <w:tabs>
          <w:tab w:val="left" w:pos="3828"/>
        </w:tabs>
        <w:spacing w:before="120" w:after="120" w:line="276" w:lineRule="auto"/>
        <w:jc w:val="both"/>
        <w:rPr>
          <w:rFonts w:ascii="Times New Roman" w:eastAsiaTheme="minorHAnsi" w:hAnsi="Times New Roman"/>
          <w:i/>
        </w:rPr>
      </w:pPr>
      <w:r w:rsidRPr="001938CC">
        <w:rPr>
          <w:rFonts w:ascii="Times New Roman" w:eastAsiaTheme="minorHAnsi" w:hAnsi="Times New Roman"/>
        </w:rPr>
        <w:t xml:space="preserve">Nie zmienił się natomiast dotychczasowy termin sporządzania poszczególnych planów działalności określony w </w:t>
      </w:r>
      <w:r w:rsidRPr="00FB28B4">
        <w:rPr>
          <w:rFonts w:ascii="Times New Roman" w:eastAsiaTheme="minorHAnsi" w:hAnsi="Times New Roman"/>
        </w:rPr>
        <w:t>ust. 1</w:t>
      </w:r>
      <w:r w:rsidRPr="001938CC">
        <w:rPr>
          <w:rFonts w:ascii="Times New Roman" w:eastAsiaTheme="minorHAnsi" w:hAnsi="Times New Roman"/>
        </w:rPr>
        <w:t xml:space="preserve"> – ministrowie będą je sporządzać do końca listopada każdego roku.</w:t>
      </w:r>
    </w:p>
    <w:p w14:paraId="270E1242" w14:textId="77777777" w:rsidR="001938CC" w:rsidRPr="00FB28B4" w:rsidRDefault="001938CC">
      <w:pPr>
        <w:spacing w:before="120" w:after="120" w:line="276" w:lineRule="auto"/>
        <w:jc w:val="both"/>
        <w:rPr>
          <w:rFonts w:ascii="Times New Roman" w:eastAsiaTheme="minorHAnsi" w:hAnsi="Times New Roman"/>
        </w:rPr>
      </w:pPr>
      <w:r w:rsidRPr="00FB28B4">
        <w:rPr>
          <w:rFonts w:ascii="Times New Roman" w:eastAsiaTheme="minorHAnsi" w:hAnsi="Times New Roman"/>
        </w:rPr>
        <w:t>b) ust. 2a</w:t>
      </w:r>
    </w:p>
    <w:p w14:paraId="61DF3D2D" w14:textId="77777777"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Obowiązujące obecnie przepisy zostają uzupełnione o rozwiązania umożliwiające wprowadzanie zmian w planach działalności, w sytuacji przekształceń struktury administracji rządowej, zakresu spraw objętych działem administracji rządowej oraz w przypadku zmian we właściwości poszczególnych ministrów. Dookreślenie sposobu działania w tym zakresie stanowi odpowiedź na zgłaszane w tym zakresie wątpliwości interpretacyjne oraz brak podstawy prawnej do zmiany planu działalności. Nowe rozwiązanie zwiększy elastyczność planowania i przede wszystkim zapewni ministrom możliwość realizacji polityki i wyznaczania celów w zakresie działów administracji rządowej, którymi kierują. Jednocześnie nie uległ zmianie termin składania sprawozdań z wykonania planów działalności oraz oświadczeń o stanie kontroli zarządczej wskazany w </w:t>
      </w:r>
      <w:r w:rsidRPr="00FB28B4">
        <w:rPr>
          <w:rFonts w:ascii="Times New Roman" w:eastAsiaTheme="minorHAnsi" w:hAnsi="Times New Roman"/>
        </w:rPr>
        <w:t>ust. 4</w:t>
      </w:r>
      <w:r w:rsidRPr="001938CC">
        <w:rPr>
          <w:rFonts w:ascii="Times New Roman" w:eastAsiaTheme="minorHAnsi" w:hAnsi="Times New Roman"/>
          <w:i/>
        </w:rPr>
        <w:t xml:space="preserve"> </w:t>
      </w:r>
      <w:r w:rsidRPr="001938CC">
        <w:rPr>
          <w:rFonts w:ascii="Times New Roman" w:eastAsiaTheme="minorHAnsi" w:hAnsi="Times New Roman"/>
        </w:rPr>
        <w:t>– dokumenty należy sporządzać do końca kwietnia każdego roku.</w:t>
      </w:r>
    </w:p>
    <w:p w14:paraId="4C3AC0F6" w14:textId="77777777" w:rsidR="001938CC" w:rsidRPr="00FB28B4" w:rsidRDefault="001938CC">
      <w:pPr>
        <w:spacing w:before="120" w:after="120" w:line="276" w:lineRule="auto"/>
        <w:jc w:val="both"/>
        <w:rPr>
          <w:rFonts w:ascii="Times New Roman" w:eastAsiaTheme="minorHAnsi" w:hAnsi="Times New Roman"/>
        </w:rPr>
      </w:pPr>
      <w:r w:rsidRPr="00FB28B4">
        <w:rPr>
          <w:rFonts w:ascii="Times New Roman" w:eastAsiaTheme="minorHAnsi" w:hAnsi="Times New Roman"/>
        </w:rPr>
        <w:t>c) ust. 3a i 3b</w:t>
      </w:r>
    </w:p>
    <w:p w14:paraId="05098080" w14:textId="69C950DD" w:rsidR="001938CC" w:rsidRPr="001938CC" w:rsidRDefault="001938CC">
      <w:pPr>
        <w:spacing w:before="120" w:line="276" w:lineRule="auto"/>
        <w:jc w:val="both"/>
        <w:rPr>
          <w:rFonts w:ascii="Times New Roman" w:eastAsiaTheme="minorHAnsi" w:hAnsi="Times New Roman"/>
        </w:rPr>
      </w:pPr>
      <w:r w:rsidRPr="001938CC">
        <w:rPr>
          <w:rFonts w:ascii="Times New Roman" w:eastAsiaTheme="minorHAnsi" w:hAnsi="Times New Roman"/>
        </w:rPr>
        <w:t xml:space="preserve">Konsekwencją wprowadzenia zmiany struktury planów działalności, o których mowa w art. 70 </w:t>
      </w:r>
      <w:r w:rsidRPr="00FB28B4">
        <w:rPr>
          <w:rFonts w:ascii="Times New Roman" w:eastAsiaTheme="minorHAnsi" w:hAnsi="Times New Roman"/>
        </w:rPr>
        <w:t>ust. 2</w:t>
      </w:r>
      <w:r w:rsidR="006D1D8E" w:rsidRPr="00FB28B4">
        <w:rPr>
          <w:rFonts w:ascii="Times New Roman" w:eastAsiaTheme="minorHAnsi" w:hAnsi="Times New Roman"/>
        </w:rPr>
        <w:t>,</w:t>
      </w:r>
      <w:r w:rsidRPr="001938CC">
        <w:rPr>
          <w:rFonts w:ascii="Times New Roman" w:eastAsiaTheme="minorHAnsi" w:hAnsi="Times New Roman"/>
        </w:rPr>
        <w:t xml:space="preserve"> jest konieczność redefinicji elementów jakie powinno zawierać sprawozdanie z wykonania planu działalności. W poprzednich regulacjach elementy tego dokumentu określone były w akcie wykonawczym do ustawy. Nowym elementem sprawozdania będzie informacja o ewentualnych zmianach dokonanych w planie działalności, na podstawie wprowadzonych przepisów </w:t>
      </w:r>
      <w:r w:rsidRPr="001938CC">
        <w:rPr>
          <w:rFonts w:ascii="Times New Roman" w:eastAsiaTheme="minorHAnsi" w:hAnsi="Times New Roman"/>
          <w:i/>
        </w:rPr>
        <w:t>ust. 2a</w:t>
      </w:r>
      <w:r w:rsidRPr="001938CC">
        <w:rPr>
          <w:rFonts w:ascii="Times New Roman" w:eastAsiaTheme="minorHAnsi" w:hAnsi="Times New Roman"/>
        </w:rPr>
        <w:t xml:space="preserve"> (pkt. b </w:t>
      </w:r>
      <w:r w:rsidR="006D1D8E">
        <w:rPr>
          <w:rFonts w:ascii="Times New Roman" w:eastAsiaTheme="minorHAnsi" w:hAnsi="Times New Roman"/>
          <w:i/>
          <w:iCs/>
        </w:rPr>
        <w:t>u</w:t>
      </w:r>
      <w:r w:rsidRPr="001938CC">
        <w:rPr>
          <w:rFonts w:ascii="Times New Roman" w:eastAsiaTheme="minorHAnsi" w:hAnsi="Times New Roman"/>
          <w:i/>
          <w:iCs/>
        </w:rPr>
        <w:t>zasadnienia</w:t>
      </w:r>
      <w:r w:rsidRPr="001938CC">
        <w:rPr>
          <w:rFonts w:ascii="Times New Roman" w:eastAsiaTheme="minorHAnsi" w:hAnsi="Times New Roman"/>
        </w:rPr>
        <w:t>).</w:t>
      </w:r>
    </w:p>
    <w:p w14:paraId="58936DE3" w14:textId="77777777" w:rsidR="001938CC" w:rsidRPr="001938CC" w:rsidRDefault="001938CC">
      <w:pPr>
        <w:spacing w:after="120" w:line="276" w:lineRule="auto"/>
        <w:jc w:val="both"/>
        <w:rPr>
          <w:rFonts w:ascii="Times New Roman" w:eastAsiaTheme="minorHAnsi" w:hAnsi="Times New Roman"/>
        </w:rPr>
      </w:pPr>
      <w:r w:rsidRPr="001938CC">
        <w:rPr>
          <w:rFonts w:ascii="Times New Roman" w:eastAsiaTheme="minorHAnsi" w:hAnsi="Times New Roman"/>
        </w:rPr>
        <w:t xml:space="preserve">Na grunt ustawy przeniesione zostały również wymogi formalne w odniesieniu do składanych przez ministrów kierujących działami administracji rządowej oświadczeń o stanie kontroli zarządczej. Dotychczas wymogi w tym zakresie były określone w rozporządzeniu Ministra Finansów z dnia 2 grudnia 2010 r. </w:t>
      </w:r>
      <w:r w:rsidRPr="001938CC">
        <w:rPr>
          <w:rFonts w:ascii="Times New Roman" w:eastAsiaTheme="minorHAnsi" w:hAnsi="Times New Roman"/>
          <w:i/>
        </w:rPr>
        <w:t>w sprawie wzoru oświadczenia o stanie kontroli zarządczej</w:t>
      </w:r>
      <w:r w:rsidRPr="001938CC">
        <w:rPr>
          <w:rFonts w:ascii="Times New Roman" w:eastAsiaTheme="minorHAnsi" w:hAnsi="Times New Roman"/>
          <w:iCs/>
          <w:vertAlign w:val="superscript"/>
        </w:rPr>
        <w:footnoteReference w:id="4"/>
      </w:r>
      <w:r w:rsidRPr="001938CC">
        <w:rPr>
          <w:rFonts w:ascii="Times New Roman" w:eastAsiaTheme="minorHAnsi" w:hAnsi="Times New Roman"/>
        </w:rPr>
        <w:t>.</w:t>
      </w:r>
    </w:p>
    <w:p w14:paraId="2AEB90EE" w14:textId="3613EB73" w:rsidR="001938CC" w:rsidRPr="00BB7E18" w:rsidRDefault="006D1D8E">
      <w:pPr>
        <w:spacing w:before="120" w:after="120" w:line="276" w:lineRule="auto"/>
        <w:jc w:val="both"/>
        <w:rPr>
          <w:rFonts w:ascii="Times New Roman" w:eastAsiaTheme="minorHAnsi" w:hAnsi="Times New Roman"/>
        </w:rPr>
      </w:pPr>
      <w:r w:rsidRPr="00BB7E18">
        <w:rPr>
          <w:rFonts w:ascii="Times New Roman" w:eastAsiaTheme="minorHAnsi" w:hAnsi="Times New Roman"/>
        </w:rPr>
        <w:t>d) ust. 4 oraz</w:t>
      </w:r>
      <w:r w:rsidR="001938CC" w:rsidRPr="00BB7E18">
        <w:rPr>
          <w:rFonts w:ascii="Times New Roman" w:eastAsiaTheme="minorHAnsi" w:hAnsi="Times New Roman"/>
        </w:rPr>
        <w:t xml:space="preserve"> ust. 4a i 4b</w:t>
      </w:r>
    </w:p>
    <w:p w14:paraId="2A23D0C8" w14:textId="77777777"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lastRenderedPageBreak/>
        <w:t xml:space="preserve">W </w:t>
      </w:r>
      <w:r w:rsidRPr="00FB28B4">
        <w:rPr>
          <w:rFonts w:ascii="Times New Roman" w:eastAsiaTheme="minorHAnsi" w:hAnsi="Times New Roman"/>
        </w:rPr>
        <w:t>ust. 4</w:t>
      </w:r>
      <w:r w:rsidRPr="001938CC">
        <w:rPr>
          <w:rFonts w:ascii="Times New Roman" w:eastAsiaTheme="minorHAnsi" w:hAnsi="Times New Roman"/>
          <w:i/>
        </w:rPr>
        <w:t xml:space="preserve"> </w:t>
      </w:r>
      <w:r w:rsidRPr="001938CC">
        <w:rPr>
          <w:rFonts w:ascii="Times New Roman" w:eastAsiaTheme="minorHAnsi" w:hAnsi="Times New Roman"/>
        </w:rPr>
        <w:t xml:space="preserve">została zachowana możliwość zobowiązania kierownika jednostki w dziale przez ministra kierującego działem do sporządzania planu działalności na rok następny dla tej jednostki oraz sporządzania sprawozdania z wykonania planu działalności i składania oświadczenia o stanie kontroli zarządczej za poprzedni rok w zakresie kierowanej przez niego jednostki. W celu zachowania spójności celów ujętych w planie działalności ministra kierującego działem planowanie będzie miało charakter kaskadowy. W przypadku skorzystania przez ministra kierującego działem administracji rządowej z tych uprawnień kierownik jednostki zobowiązany będzie sporządzić własny plan działalności na podstawie planu działalności ministra działowego. Planowanie operacyjne na poziomie jednostek w dziale odbywać się będzie z uwzględnieniem celów, zadań i mierników określonych na poziomie działu administracji rządowej przez poszczególnych ministrów. Ponadto do obowiązków kierownika jednostki należeć będzie również przekazanie do nadrzędnego ministra opracowanych sprawozdań oraz oświadczeń. Określenie terminu składania tych dokumentów będzie należeć do kompetencji ministra, któremu podlega dana jednostka lub jest przez niego nadzorowana. </w:t>
      </w:r>
    </w:p>
    <w:p w14:paraId="3B0D45B9" w14:textId="058BA6E3" w:rsidR="001938CC" w:rsidRPr="00FB28B4" w:rsidRDefault="006D1D8E">
      <w:pPr>
        <w:spacing w:before="120" w:after="120" w:line="276" w:lineRule="auto"/>
        <w:jc w:val="both"/>
        <w:rPr>
          <w:rFonts w:ascii="Times New Roman" w:eastAsiaTheme="minorHAnsi" w:hAnsi="Times New Roman"/>
        </w:rPr>
      </w:pPr>
      <w:r w:rsidRPr="00FB28B4">
        <w:rPr>
          <w:rFonts w:ascii="Times New Roman" w:eastAsiaTheme="minorHAnsi" w:hAnsi="Times New Roman"/>
        </w:rPr>
        <w:t>d</w:t>
      </w:r>
      <w:r w:rsidR="00D82CA9" w:rsidRPr="00FB28B4">
        <w:rPr>
          <w:rFonts w:ascii="Times New Roman" w:eastAsiaTheme="minorHAnsi" w:hAnsi="Times New Roman"/>
        </w:rPr>
        <w:t>) ust. 6 i</w:t>
      </w:r>
      <w:r w:rsidR="001938CC" w:rsidRPr="00FB28B4">
        <w:rPr>
          <w:rFonts w:ascii="Times New Roman" w:eastAsiaTheme="minorHAnsi" w:hAnsi="Times New Roman"/>
        </w:rPr>
        <w:t xml:space="preserve"> ust. 7 </w:t>
      </w:r>
    </w:p>
    <w:p w14:paraId="0DEFD0E4" w14:textId="0738A579" w:rsidR="00EA5A8C" w:rsidRDefault="001938CC" w:rsidP="00713591">
      <w:pPr>
        <w:spacing w:line="276" w:lineRule="auto"/>
        <w:jc w:val="both"/>
        <w:rPr>
          <w:rFonts w:ascii="Times New Roman" w:hAnsi="Times New Roman"/>
        </w:rPr>
      </w:pPr>
      <w:r w:rsidRPr="001938CC">
        <w:rPr>
          <w:rFonts w:ascii="Times New Roman" w:eastAsiaTheme="minorHAnsi" w:hAnsi="Times New Roman"/>
          <w:iCs/>
        </w:rPr>
        <w:t>W konsekwencji wskazania w ustawie elementów planu działalności, sprawozdania z wykonania planu działalności i oświadczenia o stanie kontroli zarządczej modyfikacji uległy delegacje do wydania aktów wykonawczych określających wzory tych dokumentów oraz sposób sporządzania planu działalności (np. w zakresie przekazywania przez ministra kierującego działem projektu planu działalności do Prezesa Rady Ministrów – analogicznie, jak jest to już obecnie).</w:t>
      </w:r>
    </w:p>
    <w:p w14:paraId="11039B57" w14:textId="77777777" w:rsidR="001938CC" w:rsidRDefault="001938CC" w:rsidP="00713591">
      <w:pPr>
        <w:spacing w:line="276" w:lineRule="auto"/>
        <w:jc w:val="both"/>
        <w:rPr>
          <w:rFonts w:ascii="Times New Roman" w:hAnsi="Times New Roman"/>
          <w:b/>
          <w:i/>
        </w:rPr>
      </w:pPr>
    </w:p>
    <w:p w14:paraId="269AB81F" w14:textId="19BF608E" w:rsidR="00EA5A8C" w:rsidRPr="00380314" w:rsidRDefault="00EA5A8C" w:rsidP="00713591">
      <w:pPr>
        <w:spacing w:line="276" w:lineRule="auto"/>
        <w:jc w:val="both"/>
        <w:rPr>
          <w:rFonts w:ascii="Times New Roman" w:hAnsi="Times New Roman"/>
          <w:b/>
          <w:i/>
        </w:rPr>
      </w:pPr>
      <w:r w:rsidRPr="00380314">
        <w:rPr>
          <w:rFonts w:ascii="Times New Roman" w:hAnsi="Times New Roman"/>
          <w:b/>
          <w:i/>
        </w:rPr>
        <w:t>zmiana w art. 174</w:t>
      </w:r>
      <w:r w:rsidR="00714131">
        <w:rPr>
          <w:rFonts w:ascii="Times New Roman" w:hAnsi="Times New Roman"/>
          <w:b/>
          <w:i/>
        </w:rPr>
        <w:t>, uchylenie pkt 2</w:t>
      </w:r>
    </w:p>
    <w:p w14:paraId="1896433F" w14:textId="77777777" w:rsidR="00EA5A8C" w:rsidRPr="00380314" w:rsidRDefault="00EA5A8C" w:rsidP="00C90852">
      <w:pPr>
        <w:autoSpaceDE w:val="0"/>
        <w:autoSpaceDN w:val="0"/>
        <w:adjustRightInd w:val="0"/>
        <w:spacing w:before="120" w:line="276" w:lineRule="auto"/>
        <w:jc w:val="both"/>
        <w:rPr>
          <w:rFonts w:asciiTheme="majorBidi" w:eastAsiaTheme="minorHAnsi" w:hAnsiTheme="majorBidi" w:cstheme="majorBidi"/>
        </w:rPr>
      </w:pPr>
      <w:r w:rsidRPr="00380314">
        <w:rPr>
          <w:rFonts w:asciiTheme="majorBidi" w:eastAsiaTheme="minorHAnsi" w:hAnsiTheme="majorBidi" w:cstheme="majorBidi"/>
        </w:rPr>
        <w:t xml:space="preserve">W ramach prac nad reformą systemu budżetowego w Ministerstwie Finansów opracowano diagnozę obowiązującego systemu budżetowego, która stanowi część </w:t>
      </w:r>
      <w:r w:rsidRPr="00380314">
        <w:rPr>
          <w:rFonts w:asciiTheme="majorBidi" w:eastAsiaTheme="minorHAnsi" w:hAnsiTheme="majorBidi" w:cstheme="majorBidi"/>
          <w:i/>
        </w:rPr>
        <w:t>Założeń reformy systemu budżetowego</w:t>
      </w:r>
      <w:r w:rsidRPr="00380314">
        <w:rPr>
          <w:rFonts w:asciiTheme="majorBidi" w:eastAsiaTheme="minorHAnsi" w:hAnsiTheme="majorBidi" w:cstheme="majorBidi"/>
          <w:vertAlign w:val="superscript"/>
        </w:rPr>
        <w:footnoteReference w:id="5"/>
      </w:r>
      <w:r w:rsidRPr="00380314">
        <w:rPr>
          <w:rFonts w:asciiTheme="majorBidi" w:eastAsiaTheme="minorHAnsi" w:hAnsiTheme="majorBidi" w:cstheme="majorBidi"/>
        </w:rPr>
        <w:t xml:space="preserve">, przyjętych przez Radę Ministrów w 2016 r. W dokumencie tym wskazano przyczyny braku możliwości sprawowania przez Ministra Finansów ogólnej kontroli, o której mowa w art. 174 pkt 2, w istniejących uwarunkowaniach − do których można zaliczyć: </w:t>
      </w:r>
    </w:p>
    <w:p w14:paraId="579E9463" w14:textId="77777777" w:rsidR="00EA5A8C" w:rsidRPr="00380314" w:rsidRDefault="00EA5A8C" w:rsidP="00B42069">
      <w:pPr>
        <w:numPr>
          <w:ilvl w:val="0"/>
          <w:numId w:val="8"/>
        </w:numPr>
        <w:autoSpaceDE w:val="0"/>
        <w:autoSpaceDN w:val="0"/>
        <w:adjustRightInd w:val="0"/>
        <w:spacing w:before="120" w:after="200" w:line="276" w:lineRule="auto"/>
        <w:contextualSpacing/>
        <w:jc w:val="both"/>
        <w:rPr>
          <w:rFonts w:asciiTheme="majorBidi" w:eastAsiaTheme="minorHAnsi" w:hAnsiTheme="majorBidi" w:cstheme="majorBidi"/>
        </w:rPr>
      </w:pPr>
      <w:r w:rsidRPr="00380314">
        <w:rPr>
          <w:rFonts w:asciiTheme="majorBidi" w:eastAsiaTheme="minorHAnsi" w:hAnsiTheme="majorBidi" w:cstheme="majorBidi"/>
        </w:rPr>
        <w:t>równorzędną pozycję Ministra Finansów w stosunku do innych organów administracji rządowej, tj. ministrów kierujących działami administracji rządowej,</w:t>
      </w:r>
    </w:p>
    <w:p w14:paraId="79AF8542" w14:textId="77777777" w:rsidR="00EA5A8C" w:rsidRPr="00380314" w:rsidRDefault="00EA5A8C">
      <w:pPr>
        <w:numPr>
          <w:ilvl w:val="0"/>
          <w:numId w:val="8"/>
        </w:numPr>
        <w:autoSpaceDE w:val="0"/>
        <w:autoSpaceDN w:val="0"/>
        <w:adjustRightInd w:val="0"/>
        <w:spacing w:before="120" w:after="200" w:line="276" w:lineRule="auto"/>
        <w:contextualSpacing/>
        <w:jc w:val="both"/>
        <w:rPr>
          <w:rFonts w:asciiTheme="majorBidi" w:eastAsiaTheme="minorHAnsi" w:hAnsiTheme="majorBidi" w:cstheme="majorBidi"/>
        </w:rPr>
      </w:pPr>
      <w:r w:rsidRPr="00380314">
        <w:rPr>
          <w:rFonts w:asciiTheme="majorBidi" w:eastAsiaTheme="minorHAnsi" w:hAnsiTheme="majorBidi" w:cstheme="majorBidi"/>
        </w:rPr>
        <w:t xml:space="preserve">brak jasno określonych zasad lub sposobu kontroli efektywności i skuteczności realizacji budżetu w układzie zadaniowym, </w:t>
      </w:r>
    </w:p>
    <w:p w14:paraId="5D983960" w14:textId="77777777" w:rsidR="00EA5A8C" w:rsidRPr="00380314" w:rsidRDefault="00EA5A8C">
      <w:pPr>
        <w:numPr>
          <w:ilvl w:val="0"/>
          <w:numId w:val="8"/>
        </w:numPr>
        <w:autoSpaceDE w:val="0"/>
        <w:autoSpaceDN w:val="0"/>
        <w:adjustRightInd w:val="0"/>
        <w:spacing w:before="120" w:after="200" w:line="276" w:lineRule="auto"/>
        <w:contextualSpacing/>
        <w:jc w:val="both"/>
        <w:rPr>
          <w:rFonts w:asciiTheme="majorBidi" w:eastAsiaTheme="minorHAnsi" w:hAnsiTheme="majorBidi" w:cstheme="majorBidi"/>
        </w:rPr>
      </w:pPr>
      <w:r w:rsidRPr="00380314">
        <w:rPr>
          <w:rFonts w:asciiTheme="majorBidi" w:eastAsiaTheme="minorHAnsi" w:hAnsiTheme="majorBidi" w:cstheme="majorBidi"/>
        </w:rPr>
        <w:t>przyjęty model sprawozdawczości budżetowej, który nie dostarcza informacji niezbędnych do przeprowadzenia oceny efektywności i skuteczności realizacji budżetu w układzie zadaniowym.</w:t>
      </w:r>
    </w:p>
    <w:p w14:paraId="33DDF037" w14:textId="77777777" w:rsidR="00EA5A8C" w:rsidRPr="00380314" w:rsidRDefault="00EA5A8C">
      <w:pPr>
        <w:autoSpaceDE w:val="0"/>
        <w:autoSpaceDN w:val="0"/>
        <w:adjustRightInd w:val="0"/>
        <w:spacing w:before="120" w:after="120" w:line="276" w:lineRule="auto"/>
        <w:jc w:val="both"/>
        <w:rPr>
          <w:rFonts w:asciiTheme="majorBidi" w:eastAsiaTheme="minorHAnsi" w:hAnsiTheme="majorBidi" w:cstheme="majorBidi"/>
        </w:rPr>
      </w:pPr>
      <w:r w:rsidRPr="00380314">
        <w:rPr>
          <w:rFonts w:asciiTheme="majorBidi" w:eastAsiaTheme="minorHAnsi" w:hAnsiTheme="majorBidi" w:cstheme="majorBidi"/>
        </w:rPr>
        <w:lastRenderedPageBreak/>
        <w:t xml:space="preserve">Wnioski płynące z doświadczeń międzynarodowych wskazują na konieczność całościowego podejścia do efektywności wydatkowania środków publicznych, na którą oddziaływać można przede wszystkim w perspektywie wieloletniej, gdyż perspektywa roczna jest w większości przypadków zbyt krótka, aby możliwe było prowadzenie niezbędnych dostosowań prowadzonych polityk publicznych. </w:t>
      </w:r>
    </w:p>
    <w:p w14:paraId="64554DBD" w14:textId="77777777" w:rsidR="00EA5A8C" w:rsidRPr="00380314" w:rsidRDefault="00EA5A8C">
      <w:pPr>
        <w:autoSpaceDE w:val="0"/>
        <w:autoSpaceDN w:val="0"/>
        <w:adjustRightInd w:val="0"/>
        <w:spacing w:after="120" w:line="276" w:lineRule="auto"/>
        <w:jc w:val="both"/>
        <w:rPr>
          <w:rFonts w:asciiTheme="majorBidi" w:eastAsiaTheme="minorHAnsi" w:hAnsiTheme="majorBidi" w:cstheme="majorBidi"/>
        </w:rPr>
      </w:pPr>
      <w:r w:rsidRPr="00380314">
        <w:rPr>
          <w:rFonts w:asciiTheme="majorBidi" w:eastAsiaTheme="minorHAnsi" w:hAnsiTheme="majorBidi" w:cstheme="majorBidi"/>
        </w:rPr>
        <w:t xml:space="preserve">Na niewykonywanie przez Ministra Finansów obowiązku wynikającego z art. 174 pkt 2 zwracała wielokrotnie uwagę Najwyższa Izba Kontroli (NIK) w ramach kontroli wykonania budżetu państwa. Jednym z sformułowanych przez NIK wniosków jest </w:t>
      </w:r>
      <w:r w:rsidRPr="00380314">
        <w:rPr>
          <w:rFonts w:asciiTheme="majorBidi" w:eastAsiaTheme="minorHAnsi" w:hAnsiTheme="majorBidi" w:cstheme="majorBidi"/>
          <w:i/>
        </w:rPr>
        <w:t>„doprowadzenie do zgodności pomiędzy prowadzonymi w Ministerstwie Finansów działaniami z przepisami art. 174 pkt 2 ustawy o finansach publicznych odnośnie sprawowania ogólnej kontroli efektywności i skuteczności realizacji budżetu w układzie zadaniowym</w:t>
      </w:r>
      <w:r w:rsidRPr="00380314">
        <w:rPr>
          <w:rFonts w:asciiTheme="majorBidi" w:eastAsiaTheme="minorHAnsi" w:hAnsiTheme="majorBidi" w:cstheme="majorBidi"/>
          <w:i/>
          <w:vertAlign w:val="superscript"/>
        </w:rPr>
        <w:footnoteReference w:id="6"/>
      </w:r>
      <w:r w:rsidRPr="00380314">
        <w:rPr>
          <w:rFonts w:asciiTheme="majorBidi" w:eastAsiaTheme="minorHAnsi" w:hAnsiTheme="majorBidi" w:cstheme="majorBidi"/>
          <w:i/>
        </w:rPr>
        <w:t>”</w:t>
      </w:r>
      <w:r w:rsidRPr="00380314">
        <w:rPr>
          <w:rFonts w:asciiTheme="majorBidi" w:eastAsiaTheme="minorHAnsi" w:hAnsiTheme="majorBidi" w:cstheme="majorBidi"/>
        </w:rPr>
        <w:t>.</w:t>
      </w:r>
    </w:p>
    <w:p w14:paraId="37942ABF" w14:textId="77777777" w:rsidR="00EA5A8C" w:rsidRPr="00380314" w:rsidRDefault="00EA5A8C">
      <w:pPr>
        <w:spacing w:after="200" w:line="276" w:lineRule="auto"/>
        <w:jc w:val="both"/>
        <w:rPr>
          <w:rFonts w:asciiTheme="majorBidi" w:eastAsiaTheme="minorHAnsi" w:hAnsiTheme="majorBidi" w:cstheme="majorBidi"/>
        </w:rPr>
      </w:pPr>
      <w:r w:rsidRPr="00380314">
        <w:rPr>
          <w:rFonts w:asciiTheme="majorBidi" w:eastAsiaTheme="minorHAnsi" w:hAnsiTheme="majorBidi" w:cstheme="majorBidi"/>
        </w:rPr>
        <w:t>Modyfikacja przepisów ustawy polegająca na wykreśleniu niemożliwego w praktyce do wykonania uprawnienia Ministra Finansów wynikającego z art. 174 pkt 2 i jednoczesnej instytucjonalizacji przeglądów wydatków, umożliwi Ministrowi Finansów faktyczne badanie skuteczności realizowanych działań i efektywności wydatków publicznych ponoszonych na nie.</w:t>
      </w:r>
    </w:p>
    <w:p w14:paraId="7A9672B8" w14:textId="2A774782" w:rsidR="00EA5A8C" w:rsidRPr="00380314" w:rsidRDefault="00EA5A8C" w:rsidP="00713591">
      <w:pPr>
        <w:spacing w:line="276" w:lineRule="auto"/>
        <w:jc w:val="both"/>
        <w:rPr>
          <w:rFonts w:ascii="Times New Roman" w:hAnsi="Times New Roman"/>
          <w:b/>
          <w:i/>
        </w:rPr>
      </w:pPr>
      <w:r w:rsidRPr="00380314">
        <w:rPr>
          <w:rFonts w:ascii="Times New Roman" w:hAnsi="Times New Roman"/>
          <w:b/>
          <w:i/>
        </w:rPr>
        <w:t>dodanie nowego art. 175a i 175 b</w:t>
      </w:r>
    </w:p>
    <w:p w14:paraId="7C3A1463" w14:textId="00CBD3D1" w:rsidR="005F6DD5" w:rsidRDefault="00380314" w:rsidP="00C90852">
      <w:pPr>
        <w:autoSpaceDE w:val="0"/>
        <w:autoSpaceDN w:val="0"/>
        <w:adjustRightInd w:val="0"/>
        <w:spacing w:before="120" w:line="276" w:lineRule="auto"/>
        <w:jc w:val="both"/>
        <w:rPr>
          <w:rFonts w:asciiTheme="majorBidi" w:eastAsiaTheme="minorHAnsi" w:hAnsiTheme="majorBidi" w:cstheme="majorBidi"/>
        </w:rPr>
      </w:pPr>
      <w:r w:rsidRPr="00FB28B4">
        <w:rPr>
          <w:rFonts w:asciiTheme="majorBidi" w:eastAsiaTheme="minorHAnsi" w:hAnsiTheme="majorBidi" w:cstheme="majorBidi"/>
        </w:rPr>
        <w:t xml:space="preserve">Dodany art. 175a wprowadza przeglądy wydatków jako nowy (w polskim prawie) instrument, którego celem jest oddziaływanie na poziom, strukturę i jakość wydatków publicznych w perspektywie wykraczającej poza rok budżetowy. Przez jakość wydatków rozumie się tu w szczególności stopień, w jakim przyczyniają się one do skutecznej i efektywnej realizacji celów działalności państwa (ust. 1). </w:t>
      </w:r>
      <w:r w:rsidR="00994A98" w:rsidRPr="00FB28B4">
        <w:rPr>
          <w:rFonts w:asciiTheme="majorBidi" w:eastAsiaTheme="minorHAnsi" w:hAnsiTheme="majorBidi" w:cstheme="majorBidi"/>
        </w:rPr>
        <w:t xml:space="preserve">Przeglądy dotyczą </w:t>
      </w:r>
      <w:r w:rsidRPr="00FB28B4">
        <w:rPr>
          <w:rFonts w:asciiTheme="majorBidi" w:eastAsiaTheme="minorHAnsi" w:hAnsiTheme="majorBidi" w:cstheme="majorBidi"/>
        </w:rPr>
        <w:t xml:space="preserve">wydatków, </w:t>
      </w:r>
      <w:r w:rsidR="00994A98" w:rsidRPr="00FB28B4">
        <w:rPr>
          <w:rFonts w:asciiTheme="majorBidi" w:eastAsiaTheme="minorHAnsi" w:hAnsiTheme="majorBidi" w:cstheme="majorBidi"/>
        </w:rPr>
        <w:t>jednostek sektora finansów publicznych, z wyłączeniem jednostek, o których mowa w art. 139 ust. 2, i jednostek samorządu terytorialnego</w:t>
      </w:r>
      <w:r w:rsidRPr="00FB28B4">
        <w:rPr>
          <w:rFonts w:asciiTheme="majorBidi" w:eastAsiaTheme="minorHAnsi" w:hAnsiTheme="majorBidi" w:cstheme="majorBidi"/>
        </w:rPr>
        <w:t xml:space="preserve">. </w:t>
      </w:r>
      <w:r w:rsidR="00994A98" w:rsidRPr="00FB28B4">
        <w:rPr>
          <w:rFonts w:asciiTheme="majorBidi" w:eastAsiaTheme="minorHAnsi" w:hAnsiTheme="majorBidi" w:cstheme="majorBidi"/>
        </w:rPr>
        <w:t xml:space="preserve">Przeglądy wydatków są prowadzone na podstawie planu, który przygotowuje Minister Finansów, po zasięgnięciu opinii właściwych dysponentów części budżetowych lub organów nadzorujących jednostki sektora finansów publicznych, których wydatki będą podlegały przeglądowi wydatków (ust. 2). W uzasadnionych przypadkach Minister Finansów w porozumieniu z właściwym dysponentem części budżetowej lub organem nadzorującym jednostkę sektora finansów publicznych, której wydatki będą podlegały przeglądowi wydatków, może postanowić o przeprowadzeniu przeglądu wydatków poza planem. Minister Finansów koordynuje przegląd wydatków i dokumentuje jego wyniki (ust. 5). W przeglądzie wydatków, poza Ministrem Finansów, uczestniczy także dysponent części budżetowej lub organ nadzorujący jednostki sektora finansów publicznych, których wydatki będą podlegały przeglądowi, w tym </w:t>
      </w:r>
      <w:r w:rsidRPr="00FB28B4">
        <w:rPr>
          <w:rFonts w:asciiTheme="majorBidi" w:eastAsiaTheme="minorHAnsi" w:hAnsiTheme="majorBidi" w:cstheme="majorBidi"/>
        </w:rPr>
        <w:t>m. in. poprzez identyfikację oraz analizę nakładów i efektów wydatkowania środków publicznych</w:t>
      </w:r>
      <w:r w:rsidR="00994A98" w:rsidRPr="00FB28B4">
        <w:rPr>
          <w:rFonts w:asciiTheme="majorBidi" w:eastAsiaTheme="minorHAnsi" w:hAnsiTheme="majorBidi" w:cstheme="majorBidi"/>
        </w:rPr>
        <w:t xml:space="preserve"> (ust. 6)</w:t>
      </w:r>
      <w:r w:rsidRPr="00FB28B4">
        <w:rPr>
          <w:rFonts w:asciiTheme="majorBidi" w:eastAsiaTheme="minorHAnsi" w:hAnsiTheme="majorBidi" w:cstheme="majorBidi"/>
        </w:rPr>
        <w:t xml:space="preserve"> W zależności od decyzji</w:t>
      </w:r>
      <w:r w:rsidR="00994A98" w:rsidRPr="00FB28B4">
        <w:rPr>
          <w:rFonts w:asciiTheme="majorBidi" w:eastAsiaTheme="minorHAnsi" w:hAnsiTheme="majorBidi" w:cstheme="majorBidi"/>
        </w:rPr>
        <w:t>,</w:t>
      </w:r>
      <w:r w:rsidRPr="00FB28B4">
        <w:rPr>
          <w:rFonts w:asciiTheme="majorBidi" w:eastAsiaTheme="minorHAnsi" w:hAnsiTheme="majorBidi" w:cstheme="majorBidi"/>
        </w:rPr>
        <w:t xml:space="preserve"> w przeglądach mo</w:t>
      </w:r>
      <w:r w:rsidR="00994A98" w:rsidRPr="00FB28B4">
        <w:rPr>
          <w:rFonts w:asciiTheme="majorBidi" w:eastAsiaTheme="minorHAnsi" w:hAnsiTheme="majorBidi" w:cstheme="majorBidi"/>
        </w:rPr>
        <w:t>że</w:t>
      </w:r>
      <w:r w:rsidRPr="00FB28B4">
        <w:rPr>
          <w:rFonts w:asciiTheme="majorBidi" w:eastAsiaTheme="minorHAnsi" w:hAnsiTheme="majorBidi" w:cstheme="majorBidi"/>
        </w:rPr>
        <w:t xml:space="preserve"> uczestniczyć</w:t>
      </w:r>
      <w:r w:rsidR="00994A98" w:rsidRPr="00FB28B4">
        <w:t xml:space="preserve"> </w:t>
      </w:r>
      <w:r w:rsidR="00994A98" w:rsidRPr="00FB28B4">
        <w:rPr>
          <w:rFonts w:asciiTheme="majorBidi" w:eastAsiaTheme="minorHAnsi" w:hAnsiTheme="majorBidi" w:cstheme="majorBidi"/>
        </w:rPr>
        <w:t>Szef Kancelarii Prezesa Rady Ministrów</w:t>
      </w:r>
      <w:r w:rsidRPr="00FB28B4">
        <w:rPr>
          <w:rFonts w:asciiTheme="majorBidi" w:eastAsiaTheme="minorHAnsi" w:hAnsiTheme="majorBidi" w:cstheme="majorBidi"/>
        </w:rPr>
        <w:t xml:space="preserve"> </w:t>
      </w:r>
      <w:r w:rsidR="00FB28B4">
        <w:rPr>
          <w:rFonts w:asciiTheme="majorBidi" w:eastAsiaTheme="minorHAnsi" w:hAnsiTheme="majorBidi" w:cstheme="majorBidi"/>
        </w:rPr>
        <w:t>–</w:t>
      </w:r>
      <w:r w:rsidRPr="00FB28B4">
        <w:rPr>
          <w:rFonts w:asciiTheme="majorBidi" w:eastAsiaTheme="minorHAnsi" w:hAnsiTheme="majorBidi" w:cstheme="majorBidi"/>
        </w:rPr>
        <w:t xml:space="preserve"> ust.</w:t>
      </w:r>
      <w:r w:rsidR="00994A98" w:rsidRPr="00FB28B4">
        <w:rPr>
          <w:rFonts w:asciiTheme="majorBidi" w:eastAsiaTheme="minorHAnsi" w:hAnsiTheme="majorBidi" w:cstheme="majorBidi"/>
        </w:rPr>
        <w:t xml:space="preserve"> 7</w:t>
      </w:r>
      <w:r w:rsidRPr="00FB28B4">
        <w:rPr>
          <w:rFonts w:asciiTheme="majorBidi" w:eastAsiaTheme="minorHAnsi" w:hAnsiTheme="majorBidi" w:cstheme="majorBidi"/>
        </w:rPr>
        <w:t>). Takie rozwiązanie ma zapewnić udział w przeglądzie wydatków odpowiednich organów lub podmiotów, które realizują badane polityki lub zadania publiczne, a także podejmują decyzje o celach oraz sposobach ich realizacji. W rezultacie takie rozwiązanie wpłynie na użyteczność wyników przeglądów wydatków. Udział w przeglądzie wydatków konkretnego</w:t>
      </w:r>
      <w:r w:rsidR="00C35BDC" w:rsidRPr="00FB28B4">
        <w:rPr>
          <w:rFonts w:asciiTheme="majorBidi" w:eastAsiaTheme="minorHAnsi" w:hAnsiTheme="majorBidi" w:cstheme="majorBidi"/>
        </w:rPr>
        <w:t xml:space="preserve"> dysponenta lub</w:t>
      </w:r>
      <w:r w:rsidRPr="00FB28B4">
        <w:rPr>
          <w:rFonts w:asciiTheme="majorBidi" w:eastAsiaTheme="minorHAnsi" w:hAnsiTheme="majorBidi" w:cstheme="majorBidi"/>
        </w:rPr>
        <w:t xml:space="preserve"> organu</w:t>
      </w:r>
      <w:r w:rsidRPr="00380314">
        <w:rPr>
          <w:rFonts w:asciiTheme="majorBidi" w:eastAsiaTheme="minorHAnsi" w:hAnsiTheme="majorBidi" w:cstheme="majorBidi"/>
        </w:rPr>
        <w:t xml:space="preserve"> </w:t>
      </w:r>
      <w:r w:rsidR="00C35BDC">
        <w:rPr>
          <w:rFonts w:asciiTheme="majorBidi" w:eastAsiaTheme="minorHAnsi" w:hAnsiTheme="majorBidi" w:cstheme="majorBidi"/>
        </w:rPr>
        <w:lastRenderedPageBreak/>
        <w:t>nadzorującego jednostkę sektora finansów publicznych</w:t>
      </w:r>
      <w:r w:rsidRPr="00380314">
        <w:rPr>
          <w:rFonts w:asciiTheme="majorBidi" w:eastAsiaTheme="minorHAnsi" w:hAnsiTheme="majorBidi" w:cstheme="majorBidi"/>
        </w:rPr>
        <w:t xml:space="preserve"> zależy od tematu oraz zakresu przeglądu.</w:t>
      </w:r>
    </w:p>
    <w:p w14:paraId="7F85A8CC" w14:textId="1C4F61DC" w:rsidR="00380314" w:rsidRPr="00380314" w:rsidRDefault="005F6DD5" w:rsidP="00C90852">
      <w:pPr>
        <w:autoSpaceDE w:val="0"/>
        <w:autoSpaceDN w:val="0"/>
        <w:adjustRightInd w:val="0"/>
        <w:spacing w:before="120" w:line="276" w:lineRule="auto"/>
        <w:jc w:val="both"/>
        <w:rPr>
          <w:rFonts w:asciiTheme="majorBidi" w:eastAsiaTheme="minorHAnsi" w:hAnsiTheme="majorBidi" w:cstheme="majorBidi"/>
        </w:rPr>
      </w:pPr>
      <w:r w:rsidRPr="005F6DD5">
        <w:rPr>
          <w:rFonts w:asciiTheme="majorBidi" w:eastAsiaTheme="minorHAnsi" w:hAnsiTheme="majorBidi" w:cstheme="majorBidi"/>
        </w:rPr>
        <w:t>Dla każdego przeglądu wydatków Minister Finansów w uzgodnieniu z właściwymi dysponentami części budżetowych lub organami nadzorującymi jednostki sektora finansów publicznych, które uczestniczą w przeglądzie wydatków, sporządza program przeglądu wydatków (ust. 8). Program zawiera m. in. cel i szczegółowy zakres przeglądu.</w:t>
      </w:r>
    </w:p>
    <w:p w14:paraId="45A99FC8" w14:textId="4C234C23" w:rsidR="00380314" w:rsidRPr="00FB28B4" w:rsidRDefault="00380314" w:rsidP="00B42069">
      <w:pPr>
        <w:autoSpaceDE w:val="0"/>
        <w:autoSpaceDN w:val="0"/>
        <w:adjustRightInd w:val="0"/>
        <w:spacing w:before="120" w:line="276" w:lineRule="auto"/>
        <w:jc w:val="both"/>
        <w:rPr>
          <w:rFonts w:asciiTheme="majorBidi" w:eastAsiaTheme="minorHAnsi" w:hAnsiTheme="majorBidi" w:cstheme="majorBidi"/>
        </w:rPr>
      </w:pPr>
      <w:r w:rsidRPr="00380314">
        <w:rPr>
          <w:rFonts w:asciiTheme="majorBidi" w:eastAsiaTheme="minorHAnsi" w:hAnsiTheme="majorBidi" w:cstheme="majorBidi"/>
        </w:rPr>
        <w:t xml:space="preserve">Wyniki przeglądu wydatków są uzależnione od, zakresu oraz celu przeglądu. </w:t>
      </w:r>
      <w:r w:rsidR="005F6DD5">
        <w:rPr>
          <w:rFonts w:asciiTheme="majorBidi" w:eastAsiaTheme="minorHAnsi" w:hAnsiTheme="majorBidi" w:cstheme="majorBidi"/>
        </w:rPr>
        <w:t>D</w:t>
      </w:r>
      <w:r w:rsidRPr="00380314">
        <w:rPr>
          <w:rFonts w:asciiTheme="majorBidi" w:eastAsiaTheme="minorHAnsi" w:hAnsiTheme="majorBidi" w:cstheme="majorBidi"/>
        </w:rPr>
        <w:t>otycz</w:t>
      </w:r>
      <w:r w:rsidR="005F6DD5">
        <w:rPr>
          <w:rFonts w:asciiTheme="majorBidi" w:eastAsiaTheme="minorHAnsi" w:hAnsiTheme="majorBidi" w:cstheme="majorBidi"/>
        </w:rPr>
        <w:t>ą</w:t>
      </w:r>
      <w:r w:rsidR="005C1559">
        <w:rPr>
          <w:rFonts w:asciiTheme="majorBidi" w:eastAsiaTheme="minorHAnsi" w:hAnsiTheme="majorBidi" w:cstheme="majorBidi"/>
        </w:rPr>
        <w:t xml:space="preserve"> w </w:t>
      </w:r>
      <w:r w:rsidRPr="00380314">
        <w:rPr>
          <w:rFonts w:asciiTheme="majorBidi" w:eastAsiaTheme="minorHAnsi" w:hAnsiTheme="majorBidi" w:cstheme="majorBidi"/>
        </w:rPr>
        <w:t>szczególności propozycji</w:t>
      </w:r>
      <w:r w:rsidR="005F6DD5" w:rsidRPr="005F6DD5">
        <w:t xml:space="preserve"> </w:t>
      </w:r>
      <w:r w:rsidR="005F6DD5" w:rsidRPr="005F6DD5">
        <w:rPr>
          <w:rFonts w:asciiTheme="majorBidi" w:eastAsiaTheme="minorHAnsi" w:hAnsiTheme="majorBidi" w:cstheme="majorBidi"/>
        </w:rPr>
        <w:t>zmian w zakresie jakości wydatków publicznych</w:t>
      </w:r>
      <w:r w:rsidR="005F6DD5">
        <w:rPr>
          <w:rFonts w:asciiTheme="majorBidi" w:eastAsiaTheme="minorHAnsi" w:hAnsiTheme="majorBidi" w:cstheme="majorBidi"/>
        </w:rPr>
        <w:t>.</w:t>
      </w:r>
      <w:r w:rsidRPr="00380314">
        <w:rPr>
          <w:rFonts w:asciiTheme="majorBidi" w:eastAsiaTheme="minorHAnsi" w:hAnsiTheme="majorBidi" w:cstheme="majorBidi"/>
        </w:rPr>
        <w:t xml:space="preserve"> </w:t>
      </w:r>
      <w:r w:rsidR="005F6DD5">
        <w:rPr>
          <w:rFonts w:asciiTheme="majorBidi" w:eastAsiaTheme="minorHAnsi" w:hAnsiTheme="majorBidi" w:cstheme="majorBidi"/>
        </w:rPr>
        <w:t xml:space="preserve"> </w:t>
      </w:r>
      <w:r w:rsidR="005F6DD5" w:rsidRPr="005F6DD5">
        <w:rPr>
          <w:rFonts w:asciiTheme="majorBidi" w:eastAsiaTheme="minorHAnsi" w:hAnsiTheme="majorBidi" w:cstheme="majorBidi"/>
        </w:rPr>
        <w:t xml:space="preserve">Mogą także dotyczyć propozycji zmian poziomy lub struktury wydatków publicznych (ust. 9 i 10). </w:t>
      </w:r>
      <w:r w:rsidR="005F6DD5">
        <w:rPr>
          <w:rFonts w:asciiTheme="majorBidi" w:eastAsiaTheme="minorHAnsi" w:hAnsiTheme="majorBidi" w:cstheme="majorBidi"/>
        </w:rPr>
        <w:t xml:space="preserve"> </w:t>
      </w:r>
      <w:r w:rsidRPr="00380314">
        <w:rPr>
          <w:rFonts w:asciiTheme="majorBidi" w:eastAsiaTheme="minorHAnsi" w:hAnsiTheme="majorBidi" w:cstheme="majorBidi"/>
        </w:rPr>
        <w:t xml:space="preserve">Będą one dokumentowane w formie raportu z przeglądu wydatków. Raport z każdego zrealizowanego przeglądu wydatków będzie stanowił, udostępnianą na wniosek, informację publiczną, z zastrzeżeniem przepisów o tajemnicy ustawowo chronionej. Pozostałe dokumenty i informacje, zgromadzone w ramach przygotowania i realizacji przeglądów wydatków, nie będą stanowiły informacji publicznej, w rozumieniu ustawy z 6 września 2001 r. </w:t>
      </w:r>
      <w:r w:rsidRPr="00380314">
        <w:rPr>
          <w:rFonts w:asciiTheme="majorBidi" w:eastAsiaTheme="minorHAnsi" w:hAnsiTheme="majorBidi" w:cstheme="majorBidi"/>
          <w:i/>
        </w:rPr>
        <w:t>o dostępie do informacji publicznej</w:t>
      </w:r>
      <w:r w:rsidR="00C15A16">
        <w:rPr>
          <w:rFonts w:asciiTheme="majorBidi" w:eastAsiaTheme="minorHAnsi" w:hAnsiTheme="majorBidi" w:cstheme="majorBidi"/>
        </w:rPr>
        <w:t xml:space="preserve"> (Dz. U. z 20</w:t>
      </w:r>
      <w:r w:rsidR="00FB28B4">
        <w:rPr>
          <w:rFonts w:asciiTheme="majorBidi" w:eastAsiaTheme="minorHAnsi" w:hAnsiTheme="majorBidi" w:cstheme="majorBidi"/>
        </w:rPr>
        <w:t>22</w:t>
      </w:r>
      <w:r w:rsidR="00C15A16">
        <w:rPr>
          <w:rFonts w:asciiTheme="majorBidi" w:eastAsiaTheme="minorHAnsi" w:hAnsiTheme="majorBidi" w:cstheme="majorBidi"/>
        </w:rPr>
        <w:t xml:space="preserve"> r.</w:t>
      </w:r>
      <w:r w:rsidRPr="00380314">
        <w:rPr>
          <w:rFonts w:asciiTheme="majorBidi" w:eastAsiaTheme="minorHAnsi" w:hAnsiTheme="majorBidi" w:cstheme="majorBidi"/>
        </w:rPr>
        <w:t xml:space="preserve"> poz. </w:t>
      </w:r>
      <w:r w:rsidR="00FB28B4">
        <w:rPr>
          <w:rFonts w:asciiTheme="majorBidi" w:eastAsiaTheme="minorHAnsi" w:hAnsiTheme="majorBidi" w:cstheme="majorBidi"/>
        </w:rPr>
        <w:t>902</w:t>
      </w:r>
      <w:r w:rsidRPr="00380314">
        <w:rPr>
          <w:rFonts w:asciiTheme="majorBidi" w:eastAsiaTheme="minorHAnsi" w:hAnsiTheme="majorBidi" w:cstheme="majorBidi"/>
        </w:rPr>
        <w:t xml:space="preserve">). Wyniki przeglądu wydatków </w:t>
      </w:r>
      <w:r w:rsidR="00553A47" w:rsidRPr="00553A47">
        <w:rPr>
          <w:rFonts w:asciiTheme="majorBidi" w:eastAsiaTheme="minorHAnsi" w:hAnsiTheme="majorBidi" w:cstheme="majorBidi"/>
        </w:rPr>
        <w:t xml:space="preserve">dotyczące zmian poziomy lub struktury wydatków, </w:t>
      </w:r>
      <w:r w:rsidRPr="00380314">
        <w:rPr>
          <w:rFonts w:asciiTheme="majorBidi" w:eastAsiaTheme="minorHAnsi" w:hAnsiTheme="majorBidi" w:cstheme="majorBidi"/>
        </w:rPr>
        <w:t>będą uwzględniane przy opracowywaniu</w:t>
      </w:r>
      <w:r w:rsidR="00553A47">
        <w:rPr>
          <w:rFonts w:asciiTheme="majorBidi" w:eastAsiaTheme="minorHAnsi" w:hAnsiTheme="majorBidi" w:cstheme="majorBidi"/>
        </w:rPr>
        <w:t xml:space="preserve"> </w:t>
      </w:r>
      <w:r w:rsidR="00553A47" w:rsidRPr="00553A47">
        <w:rPr>
          <w:rFonts w:asciiTheme="majorBidi" w:eastAsiaTheme="minorHAnsi" w:hAnsiTheme="majorBidi" w:cstheme="majorBidi"/>
        </w:rPr>
        <w:t>materiałów do</w:t>
      </w:r>
      <w:r w:rsidRPr="00380314">
        <w:rPr>
          <w:rFonts w:asciiTheme="majorBidi" w:eastAsiaTheme="minorHAnsi" w:hAnsiTheme="majorBidi" w:cstheme="majorBidi"/>
        </w:rPr>
        <w:t xml:space="preserve"> projektu ustawy budżetowej </w:t>
      </w:r>
      <w:r w:rsidRPr="00FB28B4">
        <w:rPr>
          <w:rFonts w:asciiTheme="majorBidi" w:eastAsiaTheme="minorHAnsi" w:hAnsiTheme="majorBidi" w:cstheme="majorBidi"/>
        </w:rPr>
        <w:t xml:space="preserve">(ust. </w:t>
      </w:r>
      <w:r w:rsidR="00553A47" w:rsidRPr="00FB28B4">
        <w:rPr>
          <w:rFonts w:asciiTheme="majorBidi" w:eastAsiaTheme="minorHAnsi" w:hAnsiTheme="majorBidi" w:cstheme="majorBidi"/>
        </w:rPr>
        <w:t>11</w:t>
      </w:r>
      <w:r w:rsidRPr="00FB28B4">
        <w:rPr>
          <w:rFonts w:asciiTheme="majorBidi" w:eastAsiaTheme="minorHAnsi" w:hAnsiTheme="majorBidi" w:cstheme="majorBidi"/>
        </w:rPr>
        <w:t>).</w:t>
      </w:r>
      <w:r w:rsidR="00553A47" w:rsidRPr="00FB28B4">
        <w:rPr>
          <w:rFonts w:asciiTheme="majorBidi" w:eastAsiaTheme="minorHAnsi" w:hAnsiTheme="majorBidi" w:cstheme="majorBidi"/>
        </w:rPr>
        <w:t xml:space="preserve"> Minister Finansów będzie monitorował wykorzystanie wypracowanych podczas przeglądu propozycji zmian w zakresie jakości, poziomu i struktury wydatków publicznych (ust.</w:t>
      </w:r>
      <w:r w:rsidR="00FB28B4">
        <w:rPr>
          <w:rFonts w:asciiTheme="majorBidi" w:eastAsiaTheme="minorHAnsi" w:hAnsiTheme="majorBidi" w:cstheme="majorBidi"/>
        </w:rPr>
        <w:t xml:space="preserve"> </w:t>
      </w:r>
      <w:r w:rsidR="00553A47" w:rsidRPr="00FB28B4">
        <w:rPr>
          <w:rFonts w:asciiTheme="majorBidi" w:eastAsiaTheme="minorHAnsi" w:hAnsiTheme="majorBidi" w:cstheme="majorBidi"/>
        </w:rPr>
        <w:t>12).</w:t>
      </w:r>
    </w:p>
    <w:p w14:paraId="1763974C" w14:textId="3A472C0C" w:rsidR="00380314" w:rsidRPr="00380314" w:rsidRDefault="00380314" w:rsidP="00B42069">
      <w:pPr>
        <w:autoSpaceDE w:val="0"/>
        <w:autoSpaceDN w:val="0"/>
        <w:adjustRightInd w:val="0"/>
        <w:spacing w:before="120" w:line="276" w:lineRule="auto"/>
        <w:jc w:val="both"/>
        <w:rPr>
          <w:rFonts w:asciiTheme="majorBidi" w:eastAsiaTheme="minorHAnsi" w:hAnsiTheme="majorBidi" w:cstheme="majorBidi"/>
        </w:rPr>
      </w:pPr>
      <w:r w:rsidRPr="00380314">
        <w:rPr>
          <w:rFonts w:asciiTheme="majorBidi" w:eastAsiaTheme="minorHAnsi" w:hAnsiTheme="majorBidi" w:cstheme="majorBidi"/>
        </w:rPr>
        <w:t xml:space="preserve">Dotychczas, przeglądy wydatków były realizowane w oparciu o </w:t>
      </w:r>
      <w:r w:rsidR="00D82CA9">
        <w:rPr>
          <w:rFonts w:asciiTheme="majorBidi" w:eastAsiaTheme="minorHAnsi" w:hAnsiTheme="majorBidi" w:cstheme="majorBidi"/>
        </w:rPr>
        <w:t>z</w:t>
      </w:r>
      <w:r w:rsidRPr="00380314">
        <w:rPr>
          <w:rFonts w:asciiTheme="majorBidi" w:eastAsiaTheme="minorHAnsi" w:hAnsiTheme="majorBidi" w:cstheme="majorBidi"/>
        </w:rPr>
        <w:t xml:space="preserve">arządzenie nr 30 Ministra Finansów z 4 maja 2015 r. </w:t>
      </w:r>
      <w:r w:rsidRPr="00380314">
        <w:rPr>
          <w:rFonts w:asciiTheme="majorBidi" w:eastAsiaTheme="minorHAnsi" w:hAnsiTheme="majorBidi" w:cstheme="majorBidi"/>
          <w:i/>
        </w:rPr>
        <w:t>w sprawie powołania komitetu sterującego do spraw przeglądu wydatków publicznych</w:t>
      </w:r>
      <w:r w:rsidRPr="00380314">
        <w:rPr>
          <w:rFonts w:asciiTheme="majorBidi" w:eastAsiaTheme="minorHAnsi" w:hAnsiTheme="majorBidi" w:cstheme="majorBidi"/>
          <w:i/>
          <w:vertAlign w:val="superscript"/>
        </w:rPr>
        <w:footnoteReference w:id="7"/>
      </w:r>
      <w:r w:rsidRPr="00380314">
        <w:rPr>
          <w:rFonts w:asciiTheme="majorBidi" w:eastAsiaTheme="minorHAnsi" w:hAnsiTheme="majorBidi" w:cstheme="majorBidi"/>
        </w:rPr>
        <w:t>. Doświadczenia wskazały jednak na istotne słabości takiego rozwiązania, do których można zaliczyć przede wszystkim:</w:t>
      </w:r>
    </w:p>
    <w:p w14:paraId="62AFF7B4" w14:textId="77777777" w:rsidR="00380314" w:rsidRPr="00380314" w:rsidRDefault="00380314">
      <w:pPr>
        <w:numPr>
          <w:ilvl w:val="1"/>
          <w:numId w:val="9"/>
        </w:numPr>
        <w:autoSpaceDE w:val="0"/>
        <w:autoSpaceDN w:val="0"/>
        <w:adjustRightInd w:val="0"/>
        <w:spacing w:after="200" w:line="276" w:lineRule="auto"/>
        <w:ind w:left="426" w:hanging="284"/>
        <w:contextualSpacing/>
        <w:jc w:val="both"/>
        <w:rPr>
          <w:rFonts w:asciiTheme="majorBidi" w:eastAsiaTheme="minorHAnsi" w:hAnsiTheme="majorBidi" w:cstheme="majorBidi"/>
        </w:rPr>
      </w:pPr>
      <w:r w:rsidRPr="00380314">
        <w:rPr>
          <w:rFonts w:asciiTheme="majorBidi" w:eastAsiaTheme="minorHAnsi" w:hAnsiTheme="majorBidi" w:cstheme="majorBidi"/>
        </w:rPr>
        <w:t>brak wiedzy wśród podmiotów administracji publicznej na temat przeglądów wydatków,</w:t>
      </w:r>
    </w:p>
    <w:p w14:paraId="13BE9DF8" w14:textId="77777777" w:rsidR="00380314" w:rsidRPr="00380314" w:rsidRDefault="00380314">
      <w:pPr>
        <w:numPr>
          <w:ilvl w:val="1"/>
          <w:numId w:val="9"/>
        </w:numPr>
        <w:autoSpaceDE w:val="0"/>
        <w:autoSpaceDN w:val="0"/>
        <w:adjustRightInd w:val="0"/>
        <w:spacing w:before="120" w:after="200" w:line="276" w:lineRule="auto"/>
        <w:ind w:left="426" w:hanging="284"/>
        <w:contextualSpacing/>
        <w:jc w:val="both"/>
        <w:rPr>
          <w:rFonts w:asciiTheme="majorBidi" w:eastAsiaTheme="minorHAnsi" w:hAnsiTheme="majorBidi" w:cstheme="majorBidi"/>
        </w:rPr>
      </w:pPr>
      <w:r w:rsidRPr="00380314">
        <w:rPr>
          <w:rFonts w:asciiTheme="majorBidi" w:eastAsiaTheme="minorHAnsi" w:hAnsiTheme="majorBidi" w:cstheme="majorBidi"/>
        </w:rPr>
        <w:t>brak możliwości sprawnego prowadzenia przez Ministra Finansów przeglądu wydatków, czego efektem było np. znaczne wydłużanie procesu przeglądu wydatków i w konsekwencji dezaktualizacja wyników, co przekładało się w rezultacie na ograniczony wpływ przeglądów wydatków na decyzje podejmowane w procesie budżetowym oraz skuteczność samych przeglądów wydatków,</w:t>
      </w:r>
    </w:p>
    <w:p w14:paraId="12BEE3F3" w14:textId="77777777" w:rsidR="00380314" w:rsidRPr="00380314" w:rsidRDefault="00380314">
      <w:pPr>
        <w:numPr>
          <w:ilvl w:val="1"/>
          <w:numId w:val="9"/>
        </w:numPr>
        <w:autoSpaceDE w:val="0"/>
        <w:autoSpaceDN w:val="0"/>
        <w:adjustRightInd w:val="0"/>
        <w:spacing w:before="120" w:after="200" w:line="276" w:lineRule="auto"/>
        <w:ind w:left="426" w:hanging="284"/>
        <w:contextualSpacing/>
        <w:jc w:val="both"/>
        <w:rPr>
          <w:rFonts w:asciiTheme="majorBidi" w:eastAsiaTheme="minorHAnsi" w:hAnsiTheme="majorBidi" w:cstheme="majorBidi"/>
        </w:rPr>
      </w:pPr>
      <w:r w:rsidRPr="00380314">
        <w:rPr>
          <w:rFonts w:asciiTheme="majorBidi" w:eastAsiaTheme="minorHAnsi" w:hAnsiTheme="majorBidi" w:cstheme="majorBidi"/>
        </w:rPr>
        <w:t>dowolność podmiotów uczestniczących w przeglądzie wydatków we wdrażaniu rekomendacji,</w:t>
      </w:r>
    </w:p>
    <w:p w14:paraId="403BA53D" w14:textId="77777777" w:rsidR="00380314" w:rsidRPr="00380314" w:rsidRDefault="00380314">
      <w:pPr>
        <w:numPr>
          <w:ilvl w:val="1"/>
          <w:numId w:val="9"/>
        </w:numPr>
        <w:autoSpaceDE w:val="0"/>
        <w:autoSpaceDN w:val="0"/>
        <w:adjustRightInd w:val="0"/>
        <w:spacing w:before="120" w:after="200" w:line="276" w:lineRule="auto"/>
        <w:ind w:left="426" w:hanging="284"/>
        <w:contextualSpacing/>
        <w:jc w:val="both"/>
        <w:rPr>
          <w:rFonts w:asciiTheme="majorBidi" w:eastAsiaTheme="minorHAnsi" w:hAnsiTheme="majorBidi" w:cstheme="majorBidi"/>
        </w:rPr>
      </w:pPr>
      <w:r w:rsidRPr="00380314">
        <w:rPr>
          <w:rFonts w:asciiTheme="majorBidi" w:eastAsiaTheme="minorHAnsi" w:hAnsiTheme="majorBidi" w:cstheme="majorBidi"/>
        </w:rPr>
        <w:t>fakultatywność udziału dysponentów części budżetowych i innych jednostek sektora finansów publicznych w przeglądach wydatków,</w:t>
      </w:r>
    </w:p>
    <w:p w14:paraId="4B3EE555" w14:textId="77777777" w:rsidR="00380314" w:rsidRPr="00380314" w:rsidRDefault="00380314">
      <w:pPr>
        <w:numPr>
          <w:ilvl w:val="1"/>
          <w:numId w:val="9"/>
        </w:numPr>
        <w:autoSpaceDE w:val="0"/>
        <w:autoSpaceDN w:val="0"/>
        <w:adjustRightInd w:val="0"/>
        <w:spacing w:before="120" w:after="200" w:line="276" w:lineRule="auto"/>
        <w:ind w:left="426" w:hanging="284"/>
        <w:contextualSpacing/>
        <w:jc w:val="both"/>
        <w:rPr>
          <w:rFonts w:asciiTheme="majorBidi" w:eastAsiaTheme="minorHAnsi" w:hAnsiTheme="majorBidi" w:cstheme="majorBidi"/>
        </w:rPr>
      </w:pPr>
      <w:r w:rsidRPr="00380314">
        <w:rPr>
          <w:rFonts w:asciiTheme="majorBidi" w:eastAsiaTheme="minorHAnsi" w:hAnsiTheme="majorBidi" w:cstheme="majorBidi"/>
        </w:rPr>
        <w:t>utrudniony dostęp Ministra Finansów do informacji niezbędnych na potrzeby przeglądu, w szczególności dotyczących celów na które ponoszone są wydatki oraz uzyskiwanych efektów oraz/ lub niska jakość dostępnych informacji.</w:t>
      </w:r>
    </w:p>
    <w:p w14:paraId="46F0D55B" w14:textId="77777777" w:rsidR="00380314" w:rsidRPr="00380314" w:rsidRDefault="00380314">
      <w:pPr>
        <w:autoSpaceDE w:val="0"/>
        <w:autoSpaceDN w:val="0"/>
        <w:adjustRightInd w:val="0"/>
        <w:spacing w:before="120" w:line="276" w:lineRule="auto"/>
        <w:jc w:val="both"/>
        <w:rPr>
          <w:rFonts w:asciiTheme="majorBidi" w:eastAsiaTheme="minorHAnsi" w:hAnsiTheme="majorBidi" w:cstheme="majorBidi"/>
        </w:rPr>
      </w:pPr>
      <w:r w:rsidRPr="00380314">
        <w:rPr>
          <w:rFonts w:asciiTheme="majorBidi" w:eastAsiaTheme="minorHAnsi" w:hAnsiTheme="majorBidi" w:cstheme="majorBidi"/>
        </w:rPr>
        <w:t xml:space="preserve">Wprowadzone zmiany wychodzą naprzeciw powyższym słabościom. </w:t>
      </w:r>
    </w:p>
    <w:p w14:paraId="2035D7FB" w14:textId="58DF83F6" w:rsidR="00380314" w:rsidRPr="00380314" w:rsidRDefault="00380314">
      <w:pPr>
        <w:autoSpaceDE w:val="0"/>
        <w:autoSpaceDN w:val="0"/>
        <w:adjustRightInd w:val="0"/>
        <w:spacing w:before="120" w:line="276" w:lineRule="auto"/>
        <w:jc w:val="both"/>
        <w:rPr>
          <w:rFonts w:asciiTheme="majorBidi" w:eastAsiaTheme="minorHAnsi" w:hAnsiTheme="majorBidi" w:cstheme="majorBidi"/>
        </w:rPr>
      </w:pPr>
      <w:r w:rsidRPr="00380314">
        <w:rPr>
          <w:rFonts w:asciiTheme="majorBidi" w:eastAsiaTheme="minorHAnsi" w:hAnsiTheme="majorBidi" w:cstheme="majorBidi"/>
        </w:rPr>
        <w:t xml:space="preserve">Z uwagi na konieczność zapewnienia sprawnej oraz skutecznej realizacji </w:t>
      </w:r>
      <w:r w:rsidRPr="00FB28B4">
        <w:rPr>
          <w:rFonts w:asciiTheme="majorBidi" w:eastAsiaTheme="minorHAnsi" w:hAnsiTheme="majorBidi" w:cstheme="majorBidi"/>
        </w:rPr>
        <w:t xml:space="preserve">przeglądów, art. 175a ust. </w:t>
      </w:r>
      <w:r w:rsidR="00553A47" w:rsidRPr="00FB28B4">
        <w:rPr>
          <w:rFonts w:asciiTheme="majorBidi" w:eastAsiaTheme="minorHAnsi" w:hAnsiTheme="majorBidi" w:cstheme="majorBidi"/>
        </w:rPr>
        <w:t>13</w:t>
      </w:r>
      <w:r w:rsidRPr="00FB28B4">
        <w:rPr>
          <w:rFonts w:asciiTheme="majorBidi" w:eastAsiaTheme="minorHAnsi" w:hAnsiTheme="majorBidi" w:cstheme="majorBidi"/>
        </w:rPr>
        <w:t xml:space="preserve"> zawiera delegację dla Rady Ministrów do wydania rozporządzenia, które będzie określało </w:t>
      </w:r>
      <w:r w:rsidR="00553A47" w:rsidRPr="00FB28B4">
        <w:rPr>
          <w:rFonts w:asciiTheme="majorBidi" w:eastAsiaTheme="minorHAnsi" w:hAnsiTheme="majorBidi" w:cstheme="majorBidi"/>
        </w:rPr>
        <w:t>szczegółowy sposób i tryb sporządzania i opiniowania planów</w:t>
      </w:r>
      <w:r w:rsidR="00553A47" w:rsidRPr="00553A47">
        <w:rPr>
          <w:rFonts w:asciiTheme="majorBidi" w:eastAsiaTheme="minorHAnsi" w:hAnsiTheme="majorBidi" w:cstheme="majorBidi"/>
        </w:rPr>
        <w:t xml:space="preserve"> przeglądów wydatków, sporządzania i uzgadniania programów przeglądów wydatków oraz raportów z </w:t>
      </w:r>
      <w:r w:rsidR="00553A47" w:rsidRPr="00553A47">
        <w:rPr>
          <w:rFonts w:asciiTheme="majorBidi" w:eastAsiaTheme="minorHAnsi" w:hAnsiTheme="majorBidi" w:cstheme="majorBidi"/>
        </w:rPr>
        <w:lastRenderedPageBreak/>
        <w:t>przeglądów wydatków, a także sposób monitorowania wykorzystania propozycji zmian zawartych w tych raportach</w:t>
      </w:r>
      <w:r w:rsidRPr="00380314">
        <w:rPr>
          <w:rFonts w:asciiTheme="majorBidi" w:eastAsiaTheme="minorHAnsi" w:hAnsiTheme="majorBidi" w:cstheme="majorBidi"/>
        </w:rPr>
        <w:t>. Minister Finansów będzie mógł opracować szczegółowe wytyczne w jaki sposób przegląd powinien być przygotowany i prowadzony.</w:t>
      </w:r>
    </w:p>
    <w:p w14:paraId="4CAB7C71" w14:textId="12AE236E" w:rsidR="00380314" w:rsidRDefault="00380314">
      <w:pPr>
        <w:autoSpaceDE w:val="0"/>
        <w:autoSpaceDN w:val="0"/>
        <w:adjustRightInd w:val="0"/>
        <w:spacing w:before="120" w:line="276" w:lineRule="auto"/>
        <w:jc w:val="both"/>
        <w:rPr>
          <w:rFonts w:asciiTheme="majorBidi" w:eastAsiaTheme="minorHAnsi" w:hAnsiTheme="majorBidi" w:cstheme="majorBidi"/>
        </w:rPr>
      </w:pPr>
      <w:r w:rsidRPr="00380314">
        <w:rPr>
          <w:rFonts w:asciiTheme="majorBidi" w:eastAsiaTheme="minorHAnsi" w:hAnsiTheme="majorBidi" w:cstheme="majorBidi"/>
        </w:rPr>
        <w:t>W odróżnieniu do ogólnej kontroli efektywności i skuteczności realizacji budżetu w układzie zadaniowym przegląd wydatków umożliwia nie tylko ocenę stopnia realizacji celów działalności państwa, ale także wskazuje na alternatywne (bardziej efektywne) sposoby ich osiągania. Dzięki temu umożliwia wykorzystanie informacji pochodzących z analizy efektywności wydatkowania środków publicznych w procesie podejmowania decyzji budżetowych w kolejnych latach.</w:t>
      </w:r>
    </w:p>
    <w:p w14:paraId="343608FF" w14:textId="6B533685" w:rsidR="00553A47" w:rsidRPr="00FB28B4" w:rsidRDefault="00553A47">
      <w:pPr>
        <w:autoSpaceDE w:val="0"/>
        <w:autoSpaceDN w:val="0"/>
        <w:adjustRightInd w:val="0"/>
        <w:spacing w:before="120" w:line="276" w:lineRule="auto"/>
        <w:jc w:val="both"/>
        <w:rPr>
          <w:rFonts w:asciiTheme="majorBidi" w:eastAsiaTheme="minorHAnsi" w:hAnsiTheme="majorBidi" w:cstheme="majorBidi"/>
        </w:rPr>
      </w:pPr>
      <w:r>
        <w:rPr>
          <w:rFonts w:asciiTheme="majorBidi" w:eastAsiaTheme="minorHAnsi" w:hAnsiTheme="majorBidi" w:cstheme="majorBidi"/>
        </w:rPr>
        <w:t xml:space="preserve">Pomimo </w:t>
      </w:r>
      <w:r w:rsidRPr="00FB28B4">
        <w:rPr>
          <w:rFonts w:asciiTheme="majorBidi" w:eastAsiaTheme="minorHAnsi" w:hAnsiTheme="majorBidi" w:cstheme="majorBidi"/>
        </w:rPr>
        <w:t>podobnego nazewnictwa, wprowadzany instrume</w:t>
      </w:r>
      <w:r w:rsidR="00D82CA9" w:rsidRPr="00FB28B4">
        <w:rPr>
          <w:rFonts w:asciiTheme="majorBidi" w:eastAsiaTheme="minorHAnsi" w:hAnsiTheme="majorBidi" w:cstheme="majorBidi"/>
        </w:rPr>
        <w:t>nt jest odrębny od przeglądów o </w:t>
      </w:r>
      <w:r w:rsidRPr="00FB28B4">
        <w:rPr>
          <w:rFonts w:asciiTheme="majorBidi" w:eastAsiaTheme="minorHAnsi" w:hAnsiTheme="majorBidi" w:cstheme="majorBidi"/>
        </w:rPr>
        <w:t>których mowa w art. 86</w:t>
      </w:r>
      <w:r w:rsidR="00D82CA9" w:rsidRPr="00FB28B4">
        <w:rPr>
          <w:rFonts w:asciiTheme="majorBidi" w:eastAsiaTheme="minorHAnsi" w:hAnsiTheme="majorBidi" w:cstheme="majorBidi"/>
        </w:rPr>
        <w:t>,</w:t>
      </w:r>
      <w:r w:rsidRPr="00FB28B4">
        <w:rPr>
          <w:rFonts w:asciiTheme="majorBidi" w:eastAsiaTheme="minorHAnsi" w:hAnsiTheme="majorBidi" w:cstheme="majorBidi"/>
        </w:rPr>
        <w:t xml:space="preserve"> i biorąc pod uwagę przedmiot przeglądów wydatków oraz podmioty w nich uczestniczące, muszą być traktowane jako 2 odrębne instrumenty.</w:t>
      </w:r>
    </w:p>
    <w:p w14:paraId="4CB38B52" w14:textId="77777777" w:rsidR="00380314" w:rsidRDefault="00380314">
      <w:pPr>
        <w:spacing w:before="120" w:after="120" w:line="276" w:lineRule="auto"/>
        <w:jc w:val="both"/>
        <w:rPr>
          <w:rFonts w:asciiTheme="majorBidi" w:eastAsiaTheme="minorHAnsi" w:hAnsiTheme="majorBidi" w:cstheme="majorBidi"/>
        </w:rPr>
      </w:pPr>
      <w:r w:rsidRPr="00FB28B4">
        <w:rPr>
          <w:rFonts w:asciiTheme="majorBidi" w:eastAsiaTheme="minorHAnsi" w:hAnsiTheme="majorBidi" w:cstheme="majorBidi"/>
        </w:rPr>
        <w:t>Dodano art. 175b, w oparciu o który Minister Finansów będzie mógł pozyskiwać dane i informacje niezbędne do sprawnego prowadzenia przeglądów wydatków. Stanowi to przede wszystkim odpowiedź na zdiagnozowaną istotną słabość, w postaci utrudnionego lub ograniczonego dostępu do informacji i danych, w szczególności w zakresie celów i efektów wydatkowanych środków</w:t>
      </w:r>
      <w:r w:rsidRPr="00380314">
        <w:rPr>
          <w:rFonts w:asciiTheme="majorBidi" w:eastAsiaTheme="minorHAnsi" w:hAnsiTheme="majorBidi" w:cstheme="majorBidi"/>
        </w:rPr>
        <w:t xml:space="preserve"> publicznych i niskiej jakości ogólnodostępnych danych. Wprowadzenie takiego rozwiązania wpłynie także na ograniczenie asymetrii wiedzy Ministra Finansów i ministrów kierujących działami administracji rządowej, właściwych ze względu na zakres przeglądu wydatków. Projektowany art. 175b uwzględnia przepisy dotyczące tajemnicy ustawowo chronionej.</w:t>
      </w:r>
    </w:p>
    <w:p w14:paraId="04250EDD" w14:textId="77777777" w:rsidR="00CF175A" w:rsidRDefault="00CF175A">
      <w:pPr>
        <w:spacing w:before="120" w:after="120" w:line="276" w:lineRule="auto"/>
        <w:jc w:val="both"/>
        <w:rPr>
          <w:rFonts w:asciiTheme="majorBidi" w:eastAsiaTheme="minorHAnsi" w:hAnsiTheme="majorBidi" w:cstheme="majorBidi"/>
        </w:rPr>
      </w:pPr>
    </w:p>
    <w:p w14:paraId="7EF77EBF" w14:textId="1EF4A554"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zmiana w art. 273</w:t>
      </w:r>
    </w:p>
    <w:p w14:paraId="77C669A2" w14:textId="77777777" w:rsidR="001938CC" w:rsidRPr="001938CC" w:rsidRDefault="001938CC">
      <w:pPr>
        <w:autoSpaceDE w:val="0"/>
        <w:autoSpaceDN w:val="0"/>
        <w:adjustRightInd w:val="0"/>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W </w:t>
      </w:r>
      <w:r w:rsidRPr="001938CC">
        <w:rPr>
          <w:rFonts w:ascii="Times New Roman" w:eastAsiaTheme="minorHAnsi" w:hAnsi="Times New Roman"/>
          <w:i/>
        </w:rPr>
        <w:t>ust. 2</w:t>
      </w:r>
      <w:r w:rsidRPr="001938CC">
        <w:rPr>
          <w:rFonts w:ascii="Times New Roman" w:eastAsiaTheme="minorHAnsi" w:hAnsi="Times New Roman"/>
        </w:rPr>
        <w:t xml:space="preserve"> dotychczasowe zobowiązanie audytora wewnętrznego do kierowania się podczas prowadzenia audytu standardami audytu wewnętrznego uzupełniono o wymóg stosowania kodeksu etyki prowadzącego audyt wewnętrzny w jednostkach sektora finansów publicznych. </w:t>
      </w:r>
    </w:p>
    <w:p w14:paraId="11CF5C9F" w14:textId="77777777" w:rsidR="001938CC" w:rsidRDefault="001938CC">
      <w:pPr>
        <w:autoSpaceDE w:val="0"/>
        <w:autoSpaceDN w:val="0"/>
        <w:adjustRightInd w:val="0"/>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Powyższe ma na celu szczególne podkreślenie znaczenia zasad etycznych podczas prowadzenia audytu wewnętrznego. Zakłada się, że zarówno standardy, jak i kodeks etyki przyjęte w sektorze publicznym będą zgodne z regulacjami przyjętymi przez Instytut Audytorów Wewnętrznych (ang. </w:t>
      </w:r>
      <w:r w:rsidRPr="001938CC">
        <w:rPr>
          <w:rFonts w:ascii="Times New Roman" w:eastAsiaTheme="minorHAnsi" w:hAnsi="Times New Roman"/>
          <w:i/>
        </w:rPr>
        <w:t xml:space="preserve">The </w:t>
      </w:r>
      <w:proofErr w:type="spellStart"/>
      <w:r w:rsidRPr="001938CC">
        <w:rPr>
          <w:rFonts w:ascii="Times New Roman" w:eastAsiaTheme="minorHAnsi" w:hAnsi="Times New Roman"/>
          <w:i/>
        </w:rPr>
        <w:t>Institute</w:t>
      </w:r>
      <w:proofErr w:type="spellEnd"/>
      <w:r w:rsidRPr="001938CC">
        <w:rPr>
          <w:rFonts w:ascii="Times New Roman" w:eastAsiaTheme="minorHAnsi" w:hAnsi="Times New Roman"/>
          <w:i/>
        </w:rPr>
        <w:t xml:space="preserve"> of </w:t>
      </w:r>
      <w:proofErr w:type="spellStart"/>
      <w:r w:rsidRPr="001938CC">
        <w:rPr>
          <w:rFonts w:ascii="Times New Roman" w:eastAsiaTheme="minorHAnsi" w:hAnsi="Times New Roman"/>
          <w:i/>
        </w:rPr>
        <w:t>Internal</w:t>
      </w:r>
      <w:proofErr w:type="spellEnd"/>
      <w:r w:rsidRPr="001938CC">
        <w:rPr>
          <w:rFonts w:ascii="Times New Roman" w:eastAsiaTheme="minorHAnsi" w:hAnsi="Times New Roman"/>
          <w:i/>
        </w:rPr>
        <w:t xml:space="preserve"> </w:t>
      </w:r>
      <w:proofErr w:type="spellStart"/>
      <w:r w:rsidRPr="001938CC">
        <w:rPr>
          <w:rFonts w:ascii="Times New Roman" w:eastAsiaTheme="minorHAnsi" w:hAnsi="Times New Roman"/>
          <w:i/>
        </w:rPr>
        <w:t>Auditors</w:t>
      </w:r>
      <w:proofErr w:type="spellEnd"/>
      <w:r w:rsidRPr="001938CC">
        <w:rPr>
          <w:rFonts w:ascii="Times New Roman" w:eastAsiaTheme="minorHAnsi" w:hAnsi="Times New Roman"/>
          <w:i/>
        </w:rPr>
        <w:t xml:space="preserve"> – IIA</w:t>
      </w:r>
      <w:r w:rsidRPr="001938CC">
        <w:rPr>
          <w:rFonts w:ascii="Times New Roman" w:eastAsiaTheme="minorHAnsi" w:hAnsi="Times New Roman"/>
        </w:rPr>
        <w:t xml:space="preserve">), które są powszechnie stosowane przez Komisję Europejską, kraje członkowskie oraz sektor prywatny. Należy podkreślić, że </w:t>
      </w:r>
      <w:r w:rsidRPr="001938CC">
        <w:rPr>
          <w:rFonts w:ascii="Times New Roman" w:eastAsiaTheme="minorHAnsi" w:hAnsi="Times New Roman"/>
          <w:i/>
        </w:rPr>
        <w:t>Międzynarodowe standardy praktyki zawodowej audytu wewnętrznego</w:t>
      </w:r>
      <w:r w:rsidRPr="001938CC">
        <w:rPr>
          <w:rFonts w:ascii="Times New Roman" w:eastAsiaTheme="minorHAnsi" w:hAnsi="Times New Roman"/>
        </w:rPr>
        <w:t xml:space="preserve"> opracowane przez IIA zostały już wcześniej określone jako standardy audytu wewnętrznego dla jednostek sektora finansów publicznych</w:t>
      </w:r>
      <w:r w:rsidRPr="001938CC">
        <w:rPr>
          <w:rFonts w:ascii="Times New Roman" w:eastAsiaTheme="minorHAnsi" w:hAnsi="Times New Roman"/>
          <w:iCs/>
          <w:vertAlign w:val="superscript"/>
        </w:rPr>
        <w:footnoteReference w:id="8"/>
      </w:r>
      <w:r w:rsidRPr="001938CC">
        <w:rPr>
          <w:rFonts w:ascii="Times New Roman" w:eastAsiaTheme="minorHAnsi" w:hAnsi="Times New Roman"/>
        </w:rPr>
        <w:t>, a audytorzy wewnętrzni są zobowiązani do kierowania się nimi podczas prowadzenia audytu wewnętrznego. Wymogi etyczne określone w Kodeksie etyki IIA zobowiązują audytorów wewnętrznych do przestrzegania zasad prawości, obiektywizmu, poufności i kompetencji. Przyjęcie zaproponowanego rozwiązania uzasadnione jest również komplementarnym charakterem Standardów audytu wewnętrznego i Kodeksu etyki. Zobowiązanie do ich stosowania będzie odnosiło się także do usługodawców (</w:t>
      </w:r>
      <w:r w:rsidRPr="001938CC">
        <w:rPr>
          <w:rFonts w:ascii="Times New Roman" w:eastAsiaTheme="minorHAnsi" w:hAnsi="Times New Roman"/>
          <w:i/>
        </w:rPr>
        <w:t>ust. 3</w:t>
      </w:r>
      <w:r w:rsidRPr="001938CC">
        <w:rPr>
          <w:rFonts w:ascii="Times New Roman" w:eastAsiaTheme="minorHAnsi" w:hAnsi="Times New Roman"/>
        </w:rPr>
        <w:t xml:space="preserve">). </w:t>
      </w:r>
      <w:r w:rsidRPr="001938CC">
        <w:rPr>
          <w:rFonts w:ascii="Times New Roman" w:eastAsiaTheme="minorHAnsi" w:hAnsi="Times New Roman"/>
        </w:rPr>
        <w:lastRenderedPageBreak/>
        <w:t>Zarówno kodeks etyki prowadzącego audyt wewnętrzny, jak i standardy audytu wewnętrznego dla jednostek sektora finansów publicznych zostaną określone przez Ministra Finansów w formie komunikatu i ogłoszone w dzienniku urzędowym (</w:t>
      </w:r>
      <w:r w:rsidRPr="001938CC">
        <w:rPr>
          <w:rFonts w:ascii="Times New Roman" w:eastAsiaTheme="minorHAnsi" w:hAnsi="Times New Roman"/>
          <w:i/>
        </w:rPr>
        <w:t>ust.1</w:t>
      </w:r>
      <w:r w:rsidRPr="001938CC">
        <w:rPr>
          <w:rFonts w:ascii="Times New Roman" w:eastAsiaTheme="minorHAnsi" w:hAnsi="Times New Roman"/>
        </w:rPr>
        <w:t>). W ocenie projektodawcy, zobowiązanie osób prowadzących audyt wewnętrzny w jednostkach sektora finansów publicznych do kierowania się wskazówkami zawartymi w standardach i stosowania zasad etyki zawodowej wpłynie na transparentność funkcji audytu wewnętrznego i w założeniu ma zwiększyć rzetelność przeprowadzenia zadań zapewniających i czynności doradczych, jak również przyczyniać się do pogłębiania zaufania do usług świadczonych przez audyt wewnętrzny zarówno ze strony obywateli, ministrów kierujących działami administracji rządowej, jak i kierowników jednostek.</w:t>
      </w:r>
    </w:p>
    <w:p w14:paraId="18BAAABB" w14:textId="77777777" w:rsidR="00CF175A" w:rsidRPr="001938CC" w:rsidRDefault="00CF175A">
      <w:pPr>
        <w:autoSpaceDE w:val="0"/>
        <w:autoSpaceDN w:val="0"/>
        <w:adjustRightInd w:val="0"/>
        <w:spacing w:before="120" w:after="120" w:line="276" w:lineRule="auto"/>
        <w:jc w:val="both"/>
        <w:rPr>
          <w:rFonts w:ascii="Times New Roman" w:eastAsiaTheme="minorHAnsi" w:hAnsi="Times New Roman"/>
          <w:b/>
          <w:i/>
        </w:rPr>
      </w:pPr>
    </w:p>
    <w:p w14:paraId="5B210179" w14:textId="46865268"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zmiana w art. 274</w:t>
      </w:r>
      <w:r w:rsidR="00796BEE">
        <w:rPr>
          <w:rFonts w:ascii="Times New Roman" w:eastAsiaTheme="minorHAnsi" w:hAnsi="Times New Roman"/>
          <w:b/>
          <w:i/>
        </w:rPr>
        <w:t xml:space="preserve"> ust. 1, dodanie pkt 10, ust. 2, 3 i 5, zmiana w ust. 6, dodanie ust. 6a, zmiana w ust. 7, dodanie ust. 8 i 9</w:t>
      </w:r>
    </w:p>
    <w:p w14:paraId="1C426443" w14:textId="00B6B790" w:rsidR="001938CC" w:rsidRPr="00FB28B4" w:rsidRDefault="001938CC">
      <w:pPr>
        <w:autoSpaceDE w:val="0"/>
        <w:autoSpaceDN w:val="0"/>
        <w:adjustRightInd w:val="0"/>
        <w:spacing w:before="120" w:after="120" w:line="276" w:lineRule="auto"/>
        <w:jc w:val="both"/>
        <w:rPr>
          <w:rFonts w:ascii="Times New Roman" w:eastAsiaTheme="minorHAnsi" w:hAnsi="Times New Roman"/>
        </w:rPr>
      </w:pPr>
      <w:r w:rsidRPr="00FB28B4">
        <w:rPr>
          <w:rFonts w:ascii="Times New Roman" w:eastAsiaTheme="minorHAnsi" w:hAnsi="Times New Roman"/>
        </w:rPr>
        <w:t>Projektodawca w odniesieniu do art. 274 proponuje zmianę brzmienia ust. 1, ust. 2, ust. 3, ust. 5</w:t>
      </w:r>
      <w:r w:rsidR="00F21CAA" w:rsidRPr="00FB28B4">
        <w:rPr>
          <w:rFonts w:ascii="Times New Roman" w:eastAsiaTheme="minorHAnsi" w:hAnsi="Times New Roman"/>
        </w:rPr>
        <w:t xml:space="preserve"> </w:t>
      </w:r>
      <w:r w:rsidRPr="00FB28B4">
        <w:rPr>
          <w:rFonts w:ascii="Times New Roman" w:eastAsiaTheme="minorHAnsi" w:hAnsi="Times New Roman"/>
        </w:rPr>
        <w:t xml:space="preserve">i ust. 7 oraz dodanie ust. 6a oraz ust. 8 i 9. </w:t>
      </w:r>
    </w:p>
    <w:p w14:paraId="3A0D27FF" w14:textId="77777777" w:rsidR="001938CC" w:rsidRPr="00FB28B4" w:rsidRDefault="001938CC">
      <w:pPr>
        <w:autoSpaceDE w:val="0"/>
        <w:autoSpaceDN w:val="0"/>
        <w:adjustRightInd w:val="0"/>
        <w:spacing w:before="120" w:after="120" w:line="276" w:lineRule="auto"/>
        <w:jc w:val="both"/>
        <w:rPr>
          <w:rFonts w:ascii="Times New Roman" w:eastAsiaTheme="minorHAnsi" w:hAnsi="Times New Roman"/>
        </w:rPr>
      </w:pPr>
      <w:r w:rsidRPr="00FB28B4">
        <w:rPr>
          <w:rFonts w:ascii="Times New Roman" w:eastAsiaTheme="minorHAnsi" w:hAnsi="Times New Roman"/>
        </w:rPr>
        <w:t>W ust. 1 dodano pkt 10 wskazując w nim Państwowy Fundusz Rehabilitacji Osób Niepełnosprawnych jako podmiot zobowiązany do prowadzenia audytu wewnętrznego. Zmiana ta wynika z postulatu Ministerstwa Rodziny i Polityki Społecznej (zgłoszonego w 2019 r.) i ma związek z odrębnym statusem prawnym PFRON – który będąc funduszem celowym posiada osobowość prawną, natomiast nie ma odrębnego dysponenta środkami funduszu.</w:t>
      </w:r>
    </w:p>
    <w:p w14:paraId="25C42A52" w14:textId="77777777" w:rsidR="001938CC" w:rsidRPr="001938CC" w:rsidRDefault="001938CC">
      <w:pPr>
        <w:autoSpaceDE w:val="0"/>
        <w:autoSpaceDN w:val="0"/>
        <w:adjustRightInd w:val="0"/>
        <w:spacing w:before="120" w:after="120" w:line="276" w:lineRule="auto"/>
        <w:jc w:val="both"/>
        <w:rPr>
          <w:rFonts w:ascii="Times New Roman" w:eastAsiaTheme="minorHAnsi" w:hAnsi="Times New Roman"/>
        </w:rPr>
      </w:pPr>
      <w:r w:rsidRPr="00FB28B4">
        <w:rPr>
          <w:rFonts w:ascii="Times New Roman" w:eastAsiaTheme="minorHAnsi" w:hAnsi="Times New Roman"/>
        </w:rPr>
        <w:t>W ust. 2 katalog jednostek zobowiązanych do prowadzenia audytu wewnętrznego po przekroczeniu tzw. kwoty progowej został rozszerzony o państwowe osoby prawne, o których mowa w art. 9 pkt 14 ustawy. W ocenie projektodawcy, analogicznie jak w przypadku innych jednostek sektora finansów publicznych wskazanych w art. 274 ust. 2, ww. państwowe osoby prawne powinny zostać objęte obligatoryjnym obowiązkiem prowadzenia audytu wewnętrznego po przekroczeniu tzw. kwoty progowej. Z informacji posiadanych przez Ministerstwo Finansów wynika, że wprowadzenie proponowanych zmian spowoduje obowiązek prowadzenia audytu wewnętrznego (utworzenia komórek audytu wewnętrznego) na podstawie przepisów ustawy w dwóch osobach prawnych (Urząd Komisji Nadzoru Finansowego i Narodowa Agencja Wymiany Akademickiej</w:t>
      </w:r>
      <w:r w:rsidRPr="001938CC">
        <w:rPr>
          <w:rFonts w:ascii="Times New Roman" w:eastAsiaTheme="minorHAnsi" w:hAnsi="Times New Roman"/>
        </w:rPr>
        <w:t>).</w:t>
      </w:r>
    </w:p>
    <w:p w14:paraId="7198469B" w14:textId="3D91FD4A" w:rsidR="001938CC" w:rsidRPr="00FB28B4" w:rsidRDefault="001938CC">
      <w:pPr>
        <w:autoSpaceDE w:val="0"/>
        <w:autoSpaceDN w:val="0"/>
        <w:adjustRightInd w:val="0"/>
        <w:spacing w:before="120" w:after="120" w:line="276" w:lineRule="auto"/>
        <w:jc w:val="both"/>
        <w:rPr>
          <w:rFonts w:ascii="Times New Roman" w:eastAsiaTheme="minorHAnsi" w:hAnsi="Times New Roman"/>
        </w:rPr>
      </w:pPr>
      <w:r w:rsidRPr="00FB28B4">
        <w:rPr>
          <w:rFonts w:ascii="Times New Roman" w:eastAsiaTheme="minorHAnsi" w:hAnsi="Times New Roman"/>
        </w:rPr>
        <w:t xml:space="preserve">W ust. 2 zostały również doprecyzowane przepisy dotyczące daty powstania obowiązku prowadzenia audytu wewnętrznego w jednostkach sektora finansów publicznych. Ze zmienionego przepisu wynika jednoznacznie, że obowiązek powyższy powstaje na dzień 1 stycznia danego roku. Ma to szczególne znaczenie w przypadku jednostek samorządu terytorialnego ze względu na zmiany kwot następujące w ciągu roku w zakresie dochodów i przychodów lub wydatków i rozchodów w projekcie uchwały budżetowej lub w uchwale budżetowej (ust. 3). Wskazanie tej daty pozwoli na uniknięcie wątpliwości interpretacyjnych w zakresie określenia momentu, w którym powstaje obowiązek prowadzenia audytu wewnętrznego. Dodatkowo tak sformułowany przepis umożliwi prowadzenie audytu wewnętrznego w danej jednostce tylko i wyłącznie w trakcie roku budżetowego, w którym kwoty ujęte w planie finansowym przekroczyły </w:t>
      </w:r>
      <w:r w:rsidR="00553A47" w:rsidRPr="00FB28B4">
        <w:rPr>
          <w:rFonts w:ascii="Times New Roman" w:eastAsiaTheme="minorHAnsi" w:hAnsi="Times New Roman"/>
        </w:rPr>
        <w:t>51</w:t>
      </w:r>
      <w:r w:rsidRPr="00FB28B4">
        <w:rPr>
          <w:rFonts w:ascii="Times New Roman" w:eastAsiaTheme="minorHAnsi" w:hAnsi="Times New Roman"/>
        </w:rPr>
        <w:t xml:space="preserve"> 000 tys. zł. Ma to szczególne znaczenie </w:t>
      </w:r>
      <w:r w:rsidRPr="00FB28B4">
        <w:rPr>
          <w:rFonts w:ascii="Times New Roman" w:eastAsiaTheme="minorHAnsi" w:hAnsi="Times New Roman"/>
        </w:rPr>
        <w:lastRenderedPageBreak/>
        <w:t>w przypadku małych jednostek, które dotychczas ze względu na jednorazowy wzrost kwot w planie finansowym powyżej wartości obligującej do prowadzenia audytu wewnętrznego (np. wynikający z prowadzenia inwestycji) musiały prowadzić audyt wewnętrzny w kolejnych latach.</w:t>
      </w:r>
    </w:p>
    <w:p w14:paraId="79D998B3" w14:textId="63F75376" w:rsidR="001938CC" w:rsidRPr="00FB28B4" w:rsidRDefault="001938CC">
      <w:pPr>
        <w:autoSpaceDE w:val="0"/>
        <w:autoSpaceDN w:val="0"/>
        <w:adjustRightInd w:val="0"/>
        <w:spacing w:before="120" w:after="120" w:line="276" w:lineRule="auto"/>
        <w:jc w:val="both"/>
        <w:rPr>
          <w:rFonts w:ascii="Times New Roman" w:eastAsiaTheme="minorHAnsi" w:hAnsi="Times New Roman"/>
        </w:rPr>
      </w:pPr>
      <w:r w:rsidRPr="00FB28B4">
        <w:rPr>
          <w:rFonts w:ascii="Times New Roman" w:eastAsiaTheme="minorHAnsi" w:hAnsi="Times New Roman"/>
        </w:rPr>
        <w:t>Zmianie uległa również kwota dochodów/przychodów lub wydatków/kosztów ujętych w projektach planów finansowych lub planach finansowych oraz projektach planów rzeczowo-finansowych lub planach rzeczowo-finansowych jednostek, po przekroczeniu której powstaje powyższy obowiązek. Uwzględniając wzrost wskaźnika cen towarów i usług konsumpcyjnych za okres 2010-202</w:t>
      </w:r>
      <w:r w:rsidR="00553A47" w:rsidRPr="00FB28B4">
        <w:rPr>
          <w:rFonts w:ascii="Times New Roman" w:eastAsiaTheme="minorHAnsi" w:hAnsi="Times New Roman"/>
        </w:rPr>
        <w:t>1</w:t>
      </w:r>
      <w:r w:rsidRPr="00FB28B4">
        <w:rPr>
          <w:rFonts w:ascii="Times New Roman" w:eastAsiaTheme="minorHAnsi" w:hAnsi="Times New Roman"/>
        </w:rPr>
        <w:t xml:space="preserve">, tzw. kwota progowa, której przekroczenie skutkuje powstaniem obowiązku prowadzenia audytu wewnętrznego, została określona na poziomie </w:t>
      </w:r>
      <w:r w:rsidR="00553A47" w:rsidRPr="00FB28B4">
        <w:rPr>
          <w:rFonts w:ascii="Times New Roman" w:eastAsiaTheme="minorHAnsi" w:hAnsi="Times New Roman"/>
        </w:rPr>
        <w:t>51</w:t>
      </w:r>
      <w:r w:rsidRPr="00FB28B4">
        <w:rPr>
          <w:rFonts w:ascii="Times New Roman" w:eastAsiaTheme="minorHAnsi" w:hAnsi="Times New Roman"/>
        </w:rPr>
        <w:t xml:space="preserve"> 000 tys. zł. Od czasu wejścia w życie obowiązujących przepisów ustawy kwota progowa nie była zmieniana i wskazane jest jej urealnienie.</w:t>
      </w:r>
    </w:p>
    <w:p w14:paraId="2BC3F68D" w14:textId="31E440A7" w:rsidR="001938CC" w:rsidRPr="001938CC" w:rsidRDefault="001938CC">
      <w:pPr>
        <w:autoSpaceDE w:val="0"/>
        <w:autoSpaceDN w:val="0"/>
        <w:adjustRightInd w:val="0"/>
        <w:spacing w:before="120" w:after="120" w:line="276" w:lineRule="auto"/>
        <w:jc w:val="both"/>
        <w:rPr>
          <w:rFonts w:ascii="Times New Roman" w:eastAsiaTheme="minorHAnsi" w:hAnsi="Times New Roman"/>
        </w:rPr>
      </w:pPr>
      <w:r w:rsidRPr="00FB28B4">
        <w:rPr>
          <w:rFonts w:ascii="Times New Roman" w:eastAsiaTheme="minorHAnsi" w:hAnsi="Times New Roman"/>
        </w:rPr>
        <w:t>Podniesienie tej kwoty odpowiada również jednemu z wniosków sformułowanych przez Najwyższą Izbę Kontroli, w wynikach kontroli „Audyt wewnętrzny w jednostkach samorządu terytorialnego”</w:t>
      </w:r>
      <w:r w:rsidRPr="00FB28B4">
        <w:rPr>
          <w:rFonts w:ascii="Times New Roman" w:eastAsiaTheme="minorHAnsi" w:hAnsi="Times New Roman"/>
          <w:iCs/>
          <w:vertAlign w:val="superscript"/>
        </w:rPr>
        <w:footnoteReference w:id="9"/>
      </w:r>
      <w:r w:rsidRPr="00FB28B4">
        <w:rPr>
          <w:rFonts w:ascii="Times New Roman" w:eastAsiaTheme="minorHAnsi" w:hAnsi="Times New Roman"/>
        </w:rPr>
        <w:t>, która wniosła o przygotowanie przez Ministra Finansów nowelizacji ustawy o finansach publicznych, polegającej na wprowadzeniu wyższego limitu kwoty dochodów i przychodów lub kwoty wydatków i rozchodów ujętych w uchwale budżetowej, po przekroczeniu których powstaje obowiązek prowadzenia audytu wewnętrznego w jednostkach samorządu terytorialnego. Z danych posiadanych przez Ministerstwo Finansów za rok 20</w:t>
      </w:r>
      <w:r w:rsidR="00553A47" w:rsidRPr="00FB28B4">
        <w:rPr>
          <w:rFonts w:ascii="Times New Roman" w:eastAsiaTheme="minorHAnsi" w:hAnsi="Times New Roman"/>
        </w:rPr>
        <w:t>20</w:t>
      </w:r>
      <w:r w:rsidRPr="00FB28B4">
        <w:rPr>
          <w:rFonts w:ascii="Times New Roman" w:eastAsiaTheme="minorHAnsi" w:hAnsi="Times New Roman"/>
        </w:rPr>
        <w:t xml:space="preserve"> wynika, że liczba jednostek samorządu terytorialnego, które zostaną objęte audytem wewnętrznym ze względu na przekroczenie kwoty progowej w wysokości </w:t>
      </w:r>
      <w:r w:rsidR="00553A47" w:rsidRPr="00FB28B4">
        <w:rPr>
          <w:rFonts w:ascii="Times New Roman" w:eastAsiaTheme="minorHAnsi" w:hAnsi="Times New Roman"/>
        </w:rPr>
        <w:t>51</w:t>
      </w:r>
      <w:r w:rsidRPr="00FB28B4">
        <w:rPr>
          <w:rFonts w:ascii="Times New Roman" w:eastAsiaTheme="minorHAnsi" w:hAnsi="Times New Roman"/>
        </w:rPr>
        <w:t> 000 tys. zł. – w porównaniu do liczby obecnie prowadzących audyt</w:t>
      </w:r>
      <w:r w:rsidRPr="001938CC">
        <w:rPr>
          <w:rFonts w:ascii="Times New Roman" w:eastAsiaTheme="minorHAnsi" w:hAnsi="Times New Roman"/>
        </w:rPr>
        <w:t xml:space="preserve"> wewnętrzny, spadnie o </w:t>
      </w:r>
      <w:r w:rsidR="00553A47">
        <w:rPr>
          <w:rFonts w:ascii="Times New Roman" w:eastAsiaTheme="minorHAnsi" w:hAnsi="Times New Roman"/>
        </w:rPr>
        <w:t>333</w:t>
      </w:r>
      <w:r w:rsidRPr="001938CC">
        <w:rPr>
          <w:rFonts w:ascii="Times New Roman" w:eastAsiaTheme="minorHAnsi" w:hAnsi="Times New Roman"/>
        </w:rPr>
        <w:t xml:space="preserve"> (z </w:t>
      </w:r>
      <w:r w:rsidR="00553A47">
        <w:rPr>
          <w:rFonts w:ascii="Times New Roman" w:eastAsiaTheme="minorHAnsi" w:hAnsi="Times New Roman"/>
        </w:rPr>
        <w:t>1829</w:t>
      </w:r>
      <w:r w:rsidRPr="001938CC">
        <w:rPr>
          <w:rFonts w:ascii="Times New Roman" w:eastAsiaTheme="minorHAnsi" w:hAnsi="Times New Roman"/>
        </w:rPr>
        <w:t xml:space="preserve"> do </w:t>
      </w:r>
      <w:r w:rsidR="00553A47">
        <w:rPr>
          <w:rFonts w:ascii="Times New Roman" w:eastAsiaTheme="minorHAnsi" w:hAnsi="Times New Roman"/>
        </w:rPr>
        <w:t>1496</w:t>
      </w:r>
      <w:r w:rsidRPr="001938CC">
        <w:rPr>
          <w:rFonts w:ascii="Times New Roman" w:eastAsiaTheme="minorHAnsi" w:hAnsi="Times New Roman"/>
        </w:rPr>
        <w:t xml:space="preserve"> jednostek), a w administracji rządowej zmniejszy się o </w:t>
      </w:r>
      <w:r w:rsidR="00553A47">
        <w:rPr>
          <w:rFonts w:ascii="Times New Roman" w:eastAsiaTheme="minorHAnsi" w:hAnsi="Times New Roman"/>
        </w:rPr>
        <w:t>43</w:t>
      </w:r>
      <w:r w:rsidRPr="001938CC">
        <w:rPr>
          <w:rFonts w:ascii="Times New Roman" w:eastAsiaTheme="minorHAnsi" w:hAnsi="Times New Roman"/>
        </w:rPr>
        <w:t xml:space="preserve"> jednostki (z </w:t>
      </w:r>
      <w:r w:rsidR="00553A47">
        <w:rPr>
          <w:rFonts w:ascii="Times New Roman" w:eastAsiaTheme="minorHAnsi" w:hAnsi="Times New Roman"/>
        </w:rPr>
        <w:t>404</w:t>
      </w:r>
      <w:r w:rsidRPr="001938CC">
        <w:rPr>
          <w:rFonts w:ascii="Times New Roman" w:eastAsiaTheme="minorHAnsi" w:hAnsi="Times New Roman"/>
        </w:rPr>
        <w:t xml:space="preserve"> do 36</w:t>
      </w:r>
      <w:r w:rsidR="00553A47">
        <w:rPr>
          <w:rFonts w:ascii="Times New Roman" w:eastAsiaTheme="minorHAnsi" w:hAnsi="Times New Roman"/>
        </w:rPr>
        <w:t>1</w:t>
      </w:r>
      <w:r w:rsidRPr="001938CC">
        <w:rPr>
          <w:rFonts w:ascii="Times New Roman" w:eastAsiaTheme="minorHAnsi" w:hAnsi="Times New Roman"/>
        </w:rPr>
        <w:t>).</w:t>
      </w:r>
    </w:p>
    <w:p w14:paraId="17D64BE1" w14:textId="77777777" w:rsidR="001938CC" w:rsidRPr="00FB28B4" w:rsidRDefault="001938CC">
      <w:pPr>
        <w:autoSpaceDE w:val="0"/>
        <w:autoSpaceDN w:val="0"/>
        <w:adjustRightInd w:val="0"/>
        <w:spacing w:before="120" w:after="120" w:line="276" w:lineRule="auto"/>
        <w:jc w:val="both"/>
        <w:rPr>
          <w:rFonts w:ascii="Times New Roman" w:eastAsiaTheme="minorHAnsi" w:hAnsi="Times New Roman"/>
        </w:rPr>
      </w:pPr>
      <w:r w:rsidRPr="00FB28B4">
        <w:rPr>
          <w:rFonts w:ascii="Times New Roman" w:eastAsiaTheme="minorHAnsi" w:hAnsi="Times New Roman"/>
        </w:rPr>
        <w:t xml:space="preserve">Zmiana w zakresie kwoty progowej, po przekroczeniu której powstaje obowiązek prowadzenia audytu wewnętrznego była też wnioskowana przez stronę samorządową, m.in. w trakcie prac Zespołu ds. Systemu Finansów Komisji Wspólnej Rządu i Samorządu Terytorialnego. </w:t>
      </w:r>
    </w:p>
    <w:p w14:paraId="1329A340" w14:textId="77777777" w:rsidR="001938CC" w:rsidRPr="00FB28B4" w:rsidRDefault="001938CC">
      <w:pPr>
        <w:autoSpaceDE w:val="0"/>
        <w:autoSpaceDN w:val="0"/>
        <w:adjustRightInd w:val="0"/>
        <w:spacing w:before="120" w:after="120" w:line="276" w:lineRule="auto"/>
        <w:jc w:val="both"/>
        <w:rPr>
          <w:rFonts w:ascii="Times New Roman" w:eastAsiaTheme="minorHAnsi" w:hAnsi="Times New Roman"/>
        </w:rPr>
      </w:pPr>
      <w:r w:rsidRPr="00FB28B4">
        <w:rPr>
          <w:rFonts w:ascii="Times New Roman" w:eastAsiaTheme="minorHAnsi" w:hAnsi="Times New Roman"/>
        </w:rPr>
        <w:t>W ust. 5 zobowiązano ministra kierującego działem, aby wskazując jednostkę zobowiązaną do prowadzenia audytu wewnętrznego, powiadamiał jednocześnie o tym fakcie Ministra Finansów.</w:t>
      </w:r>
    </w:p>
    <w:p w14:paraId="714048FE" w14:textId="77777777" w:rsidR="001938CC" w:rsidRPr="001938CC" w:rsidRDefault="001938CC">
      <w:pPr>
        <w:autoSpaceDE w:val="0"/>
        <w:autoSpaceDN w:val="0"/>
        <w:adjustRightInd w:val="0"/>
        <w:spacing w:before="120" w:after="120" w:line="276" w:lineRule="auto"/>
        <w:jc w:val="both"/>
        <w:rPr>
          <w:rFonts w:ascii="Times New Roman" w:eastAsiaTheme="minorHAnsi" w:hAnsi="Times New Roman"/>
        </w:rPr>
      </w:pPr>
      <w:r w:rsidRPr="00FB28B4">
        <w:rPr>
          <w:rFonts w:ascii="Times New Roman" w:eastAsiaTheme="minorHAnsi" w:hAnsi="Times New Roman"/>
        </w:rPr>
        <w:t>W ust. 6a, 7 i 8 zostały natomiast określone terminy, w których powinny zostać złożone zawiadomienia zarówno o powstaniu obowiązku prowadzenia audytu, rozpoczęciu jak i zakończeniu prowadzenia audytu. Dotychczas jednostki miały obowiązek powiadamiania wyłącznie o rozpoczęciu prowadzenia audytu wewnętrznego. W efekcie Minister Finansów, jako koordynator audytu wewnętrznego w sektorze publicznym, nie posiadał pełnej i aktualnej wiedzy o zakresie podmiotowym prowadzonego audytu wewnętrznego w sektorze publicznym. Wprowadzenie powyższego obowiązku pozwoli na zapełnienie tej luki informacyjnej i pozyskanie wiedzy na temat jednostek, które pomimo zobowiązania nie prowadzą audytu wewnętrznego (nie zatrudniają audytora lub nie podpisały umowy z usługodawcą</w:t>
      </w:r>
      <w:r w:rsidRPr="001938CC">
        <w:rPr>
          <w:rFonts w:ascii="Times New Roman" w:eastAsiaTheme="minorHAnsi" w:hAnsi="Times New Roman"/>
        </w:rPr>
        <w:t>).</w:t>
      </w:r>
    </w:p>
    <w:p w14:paraId="4A3D1EDA" w14:textId="2FCC325C" w:rsidR="001938CC" w:rsidRPr="00FB28B4" w:rsidRDefault="001938CC">
      <w:pPr>
        <w:autoSpaceDE w:val="0"/>
        <w:autoSpaceDN w:val="0"/>
        <w:adjustRightInd w:val="0"/>
        <w:spacing w:before="120" w:after="120" w:line="276" w:lineRule="auto"/>
        <w:jc w:val="both"/>
        <w:rPr>
          <w:rFonts w:ascii="Times New Roman" w:eastAsiaTheme="minorHAnsi" w:hAnsi="Times New Roman"/>
        </w:rPr>
      </w:pPr>
      <w:r w:rsidRPr="00FB28B4">
        <w:rPr>
          <w:rFonts w:ascii="Times New Roman" w:eastAsiaTheme="minorHAnsi" w:hAnsi="Times New Roman"/>
        </w:rPr>
        <w:lastRenderedPageBreak/>
        <w:t>W przypadku jednostek w dziale obowiązek informacyjny, o którym mowa w ust. 6a, 7 i 8 powstaje również wobec ministrów kierujących działami administracji rządowej.</w:t>
      </w:r>
      <w:r w:rsidR="00B146EC" w:rsidRPr="00FB28B4">
        <w:rPr>
          <w:rFonts w:ascii="Times New Roman" w:eastAsiaTheme="minorHAnsi" w:hAnsi="Times New Roman"/>
        </w:rPr>
        <w:t xml:space="preserve"> </w:t>
      </w:r>
    </w:p>
    <w:p w14:paraId="25D55E4C" w14:textId="77777777" w:rsidR="001938CC" w:rsidRPr="001938CC" w:rsidRDefault="001938CC">
      <w:pPr>
        <w:autoSpaceDE w:val="0"/>
        <w:autoSpaceDN w:val="0"/>
        <w:adjustRightInd w:val="0"/>
        <w:spacing w:before="120" w:after="120" w:line="276" w:lineRule="auto"/>
        <w:jc w:val="both"/>
        <w:rPr>
          <w:rFonts w:ascii="Times New Roman" w:eastAsiaTheme="minorHAnsi" w:hAnsi="Times New Roman"/>
        </w:rPr>
      </w:pPr>
      <w:r w:rsidRPr="001938CC">
        <w:rPr>
          <w:rFonts w:ascii="Times New Roman" w:eastAsiaTheme="minorHAnsi" w:hAnsi="Times New Roman"/>
        </w:rPr>
        <w:t>W przypadku zakończenia prowadzenia audytu wewnętrznego w jednostce, o którym mowa w </w:t>
      </w:r>
      <w:r w:rsidRPr="001938CC">
        <w:rPr>
          <w:rFonts w:ascii="Times New Roman" w:eastAsiaTheme="minorHAnsi" w:hAnsi="Times New Roman"/>
          <w:i/>
        </w:rPr>
        <w:t>ust. 8</w:t>
      </w:r>
      <w:r w:rsidRPr="001938CC">
        <w:rPr>
          <w:rFonts w:ascii="Times New Roman" w:eastAsiaTheme="minorHAnsi" w:hAnsi="Times New Roman"/>
        </w:rPr>
        <w:t xml:space="preserve"> należy wziąć pod uwagę datę, w której faktycznie została zakończona praca audytora lub usługodawcy na rzecz jednostki. W przypadku audytora wewnętrznego zatrudnionego w jednostce jest to data, z którą nastąpiło ustanie stosunku pracy, np. jego rozwiązanie lub wygaśnięcie. W odniesieniu do usługodawców będzie to data rozwiązania zawartej umowy cywilnoprawnej, z uwzględnieniem rodzaju i zapisów tej umowy.</w:t>
      </w:r>
    </w:p>
    <w:p w14:paraId="058F5FEE" w14:textId="77777777" w:rsid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Zgodnie z </w:t>
      </w:r>
      <w:r w:rsidRPr="001938CC">
        <w:rPr>
          <w:rFonts w:ascii="Times New Roman" w:eastAsiaTheme="minorHAnsi" w:hAnsi="Times New Roman"/>
          <w:i/>
        </w:rPr>
        <w:t>ust. 9</w:t>
      </w:r>
      <w:r w:rsidRPr="001938CC">
        <w:rPr>
          <w:rFonts w:ascii="Times New Roman" w:eastAsiaTheme="minorHAnsi" w:hAnsi="Times New Roman"/>
        </w:rPr>
        <w:t xml:space="preserve"> wzór informacji o powstaniu obowiązku prowadzenia audytu wewnętrznego, rozpoczęciu prowadzenia audytu wewnętrznego i zakończeniu prowadzenia audytu wewnętrznego oraz sposób jej składania zostaną określone przez Ministra Finansów w drodze rozporządzenia.</w:t>
      </w:r>
    </w:p>
    <w:p w14:paraId="1CB7DB2D" w14:textId="77777777" w:rsidR="00CF175A" w:rsidRPr="001938CC" w:rsidRDefault="00CF175A">
      <w:pPr>
        <w:spacing w:before="120" w:after="120" w:line="276" w:lineRule="auto"/>
        <w:jc w:val="both"/>
        <w:rPr>
          <w:rFonts w:ascii="Times New Roman" w:eastAsiaTheme="minorHAnsi" w:hAnsi="Times New Roman"/>
        </w:rPr>
      </w:pPr>
    </w:p>
    <w:p w14:paraId="685FEA86" w14:textId="2B8F7781"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zmiana w art. 275</w:t>
      </w:r>
    </w:p>
    <w:p w14:paraId="42B5184E" w14:textId="77777777"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Zgodnie z proponowaną zmianą audyt wewnętrzny w jednostce sektora finansów publicznych może prowadzić:</w:t>
      </w:r>
    </w:p>
    <w:p w14:paraId="38724B51" w14:textId="43EE61E5" w:rsidR="001938CC" w:rsidRPr="001938CC" w:rsidRDefault="001938CC">
      <w:pPr>
        <w:numPr>
          <w:ilvl w:val="0"/>
          <w:numId w:val="10"/>
        </w:numPr>
        <w:spacing w:before="120" w:after="200" w:line="276" w:lineRule="auto"/>
        <w:contextualSpacing/>
        <w:jc w:val="both"/>
        <w:rPr>
          <w:rFonts w:ascii="Times New Roman" w:eastAsiaTheme="minorHAnsi" w:hAnsi="Times New Roman"/>
        </w:rPr>
      </w:pPr>
      <w:r w:rsidRPr="001938CC">
        <w:rPr>
          <w:rFonts w:ascii="Times New Roman" w:eastAsiaTheme="minorHAnsi" w:hAnsi="Times New Roman"/>
        </w:rPr>
        <w:t>audytor wewnętrzny zatrudniony lub pełniący służbę w jednostce albo</w:t>
      </w:r>
    </w:p>
    <w:p w14:paraId="13C03A3F" w14:textId="77777777" w:rsidR="001938CC" w:rsidRPr="001938CC" w:rsidRDefault="001938CC">
      <w:pPr>
        <w:numPr>
          <w:ilvl w:val="0"/>
          <w:numId w:val="10"/>
        </w:numPr>
        <w:spacing w:before="120" w:after="200" w:line="276" w:lineRule="auto"/>
        <w:contextualSpacing/>
        <w:jc w:val="both"/>
        <w:rPr>
          <w:rFonts w:ascii="Times New Roman" w:eastAsiaTheme="minorHAnsi" w:hAnsi="Times New Roman"/>
        </w:rPr>
      </w:pPr>
      <w:r w:rsidRPr="001938CC">
        <w:rPr>
          <w:rFonts w:ascii="Times New Roman" w:eastAsiaTheme="minorHAnsi" w:hAnsi="Times New Roman"/>
        </w:rPr>
        <w:t>usługodawca niezatrudniony w jednostce, zwany dalej „usługodawcą”, na podstawie umowy, o której mowa w </w:t>
      </w:r>
      <w:r w:rsidRPr="00FB28B4">
        <w:rPr>
          <w:rFonts w:ascii="Times New Roman" w:eastAsiaTheme="minorHAnsi" w:hAnsi="Times New Roman"/>
        </w:rPr>
        <w:t>art. 276 ust. 2</w:t>
      </w:r>
      <w:r w:rsidRPr="001938CC">
        <w:rPr>
          <w:rFonts w:ascii="Times New Roman" w:eastAsiaTheme="minorHAnsi" w:hAnsi="Times New Roman"/>
        </w:rPr>
        <w:t xml:space="preserve"> zmienionej ustawy.</w:t>
      </w:r>
    </w:p>
    <w:p w14:paraId="508731DE" w14:textId="2B2E5C58" w:rsid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W związku z faktem, że przepisy ustawy o finansach publicznych nie definiują pojęcia zatrudnienia oraz zgłaszanymi wątpliwościami interpretacyjnymi w tym względzie istnieje konieczność doprecyzowania, że audytorem wewnętrznym może być również osoba pełniąca służbę w jednostce. </w:t>
      </w:r>
      <w:r w:rsidR="00B146EC" w:rsidRPr="00B146EC">
        <w:rPr>
          <w:rFonts w:ascii="Times New Roman" w:eastAsiaTheme="minorHAnsi" w:hAnsi="Times New Roman"/>
        </w:rPr>
        <w:t xml:space="preserve">W pojęciu zatrudnienia mieszczą się także przypadki osób, które jako funkcjonariusze celno-skarbowi zostali oddelegowaniu na podstawie odrębnych przepisów do wykonywania zadań z zakresu audytu wewnętrznego w urzędzie obsługującym Ministra Finansów i wykonują tę pracę w komórkach organizacyjnych pozostających poza strukturą KAS. </w:t>
      </w:r>
      <w:r w:rsidRPr="001938CC">
        <w:rPr>
          <w:rFonts w:ascii="Times New Roman" w:eastAsiaTheme="minorHAnsi" w:hAnsi="Times New Roman"/>
        </w:rPr>
        <w:t xml:space="preserve">Za </w:t>
      </w:r>
      <w:r w:rsidR="00B146EC">
        <w:rPr>
          <w:rFonts w:ascii="Times New Roman" w:eastAsiaTheme="minorHAnsi" w:hAnsi="Times New Roman"/>
        </w:rPr>
        <w:t>zmianą</w:t>
      </w:r>
      <w:r w:rsidRPr="001938CC">
        <w:rPr>
          <w:rFonts w:ascii="Times New Roman" w:eastAsiaTheme="minorHAnsi" w:hAnsi="Times New Roman"/>
        </w:rPr>
        <w:t xml:space="preserve"> </w:t>
      </w:r>
      <w:r w:rsidR="00B146EC">
        <w:rPr>
          <w:rFonts w:ascii="Times New Roman" w:eastAsiaTheme="minorHAnsi" w:hAnsi="Times New Roman"/>
        </w:rPr>
        <w:t>brzmienia</w:t>
      </w:r>
      <w:r w:rsidRPr="001938CC">
        <w:rPr>
          <w:rFonts w:ascii="Times New Roman" w:eastAsiaTheme="minorHAnsi" w:hAnsi="Times New Roman"/>
        </w:rPr>
        <w:t xml:space="preserve"> przepisu przemawia</w:t>
      </w:r>
      <w:r w:rsidR="00B146EC">
        <w:rPr>
          <w:rFonts w:ascii="Times New Roman" w:eastAsiaTheme="minorHAnsi" w:hAnsi="Times New Roman"/>
        </w:rPr>
        <w:t>ła</w:t>
      </w:r>
      <w:r w:rsidRPr="001938CC">
        <w:rPr>
          <w:rFonts w:ascii="Times New Roman" w:eastAsiaTheme="minorHAnsi" w:hAnsi="Times New Roman"/>
        </w:rPr>
        <w:t xml:space="preserve"> również niejednolita praktyka w odniesieniu do powierzania obowiązków audytora wewnętrznego w poszczególnych formacjach mundurowych. </w:t>
      </w:r>
      <w:r w:rsidR="00B146EC">
        <w:rPr>
          <w:rFonts w:ascii="Times New Roman" w:eastAsiaTheme="minorHAnsi" w:hAnsi="Times New Roman"/>
        </w:rPr>
        <w:t xml:space="preserve">W </w:t>
      </w:r>
      <w:r w:rsidR="00D82CA9">
        <w:rPr>
          <w:rFonts w:ascii="Times New Roman" w:eastAsiaTheme="minorHAnsi" w:hAnsi="Times New Roman"/>
        </w:rPr>
        <w:t>konsekwencji przepisy będą wprost wskazywały na możliwość pełnienia</w:t>
      </w:r>
      <w:r w:rsidRPr="001938CC">
        <w:rPr>
          <w:rFonts w:ascii="Times New Roman" w:eastAsiaTheme="minorHAnsi" w:hAnsi="Times New Roman"/>
        </w:rPr>
        <w:t xml:space="preserve"> służby na stanowisku audytora wewnętrznego także funkcjonariuszom i żołnierzom. </w:t>
      </w:r>
    </w:p>
    <w:p w14:paraId="54600B3D" w14:textId="77777777" w:rsidR="00CF175A" w:rsidRPr="001938CC" w:rsidRDefault="00CF175A">
      <w:pPr>
        <w:spacing w:before="120" w:after="120" w:line="276" w:lineRule="auto"/>
        <w:jc w:val="both"/>
        <w:rPr>
          <w:rFonts w:ascii="Times New Roman" w:eastAsiaTheme="minorHAnsi" w:hAnsi="Times New Roman"/>
        </w:rPr>
      </w:pPr>
    </w:p>
    <w:p w14:paraId="700E2753" w14:textId="23AD75C1"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dodanie nowego art. 277a</w:t>
      </w:r>
    </w:p>
    <w:p w14:paraId="122712E5" w14:textId="669EB963" w:rsidR="0008553B" w:rsidRPr="0008553B" w:rsidRDefault="0008553B" w:rsidP="0008553B">
      <w:pPr>
        <w:spacing w:before="120" w:after="120" w:line="276" w:lineRule="auto"/>
        <w:jc w:val="both"/>
        <w:rPr>
          <w:rFonts w:ascii="Times New Roman" w:eastAsiaTheme="minorHAnsi" w:hAnsi="Times New Roman"/>
        </w:rPr>
      </w:pPr>
      <w:r w:rsidRPr="0008553B">
        <w:rPr>
          <w:rFonts w:ascii="Times New Roman" w:eastAsiaTheme="minorHAnsi" w:hAnsi="Times New Roman"/>
        </w:rPr>
        <w:t>Dzięki tej zmianie do przepisów ustawy zostały wprowadzone regulacje dotyczące obowiązku opracowania programu zapewnienia i poprawy jakości audytu wewnętrznego zapewniającego prowadzenie audytu wewnętrznego zgodnie z przepisami u</w:t>
      </w:r>
      <w:r w:rsidR="005C1559">
        <w:rPr>
          <w:rFonts w:ascii="Times New Roman" w:eastAsiaTheme="minorHAnsi" w:hAnsi="Times New Roman"/>
        </w:rPr>
        <w:t>stawy oraz w sposób efektywny i </w:t>
      </w:r>
      <w:r w:rsidRPr="0008553B">
        <w:rPr>
          <w:rFonts w:ascii="Times New Roman" w:eastAsiaTheme="minorHAnsi" w:hAnsi="Times New Roman"/>
        </w:rPr>
        <w:t xml:space="preserve">skuteczny. Program zapewnienia i poprawy jakości jest integralną częścią zarządzania  audytem wewnętrznym, jednocześnie stanowiąc podstawę do oceny jego działalności. Celem działań podejmowanych w ramach programu zapewnienia i poprawy jakości jest przysporzenie wartości oraz usprawnienie pracy audytu wewnętrznego. Program umożliwia kierownikowi komórki audytu wewnętrznego uzyskanie wiarygodnych informacji na temat funkcjonowania </w:t>
      </w:r>
      <w:r w:rsidRPr="0008553B">
        <w:rPr>
          <w:rFonts w:ascii="Times New Roman" w:eastAsiaTheme="minorHAnsi" w:hAnsi="Times New Roman"/>
        </w:rPr>
        <w:lastRenderedPageBreak/>
        <w:t>komórki audytu wewnętrznego i pracy podle</w:t>
      </w:r>
      <w:r w:rsidR="005C1559">
        <w:rPr>
          <w:rFonts w:ascii="Times New Roman" w:eastAsiaTheme="minorHAnsi" w:hAnsi="Times New Roman"/>
        </w:rPr>
        <w:t>głych pracowników, co pozwala</w:t>
      </w:r>
      <w:r w:rsidRPr="0008553B">
        <w:rPr>
          <w:rFonts w:ascii="Times New Roman" w:eastAsiaTheme="minorHAnsi" w:hAnsi="Times New Roman"/>
        </w:rPr>
        <w:t xml:space="preserve"> zidentyfikowa</w:t>
      </w:r>
      <w:r w:rsidR="005C1559">
        <w:rPr>
          <w:rFonts w:ascii="Times New Roman" w:eastAsiaTheme="minorHAnsi" w:hAnsi="Times New Roman"/>
        </w:rPr>
        <w:t xml:space="preserve">ć </w:t>
      </w:r>
      <w:r w:rsidRPr="0008553B">
        <w:rPr>
          <w:rFonts w:ascii="Times New Roman" w:eastAsiaTheme="minorHAnsi" w:hAnsi="Times New Roman"/>
        </w:rPr>
        <w:t>obszar</w:t>
      </w:r>
      <w:r w:rsidR="005C1559">
        <w:rPr>
          <w:rFonts w:ascii="Times New Roman" w:eastAsiaTheme="minorHAnsi" w:hAnsi="Times New Roman"/>
        </w:rPr>
        <w:t>y</w:t>
      </w:r>
      <w:r w:rsidRPr="0008553B">
        <w:rPr>
          <w:rFonts w:ascii="Times New Roman" w:eastAsiaTheme="minorHAnsi" w:hAnsi="Times New Roman"/>
        </w:rPr>
        <w:t xml:space="preserve"> do przeprowadzenia potencjalnych usprawnień. Z drugiej strony, wysoka jakość prac audytu wewnętrznego powinna przełożyć się na poprawę funkcjonowanie jednostki, w której prowadzony jest audyt wewnętrzny.</w:t>
      </w:r>
    </w:p>
    <w:p w14:paraId="000C97D0" w14:textId="77777777" w:rsidR="0008553B" w:rsidRPr="00FB28B4" w:rsidRDefault="0008553B" w:rsidP="0008553B">
      <w:pPr>
        <w:spacing w:before="120" w:after="120" w:line="276" w:lineRule="auto"/>
        <w:jc w:val="both"/>
        <w:rPr>
          <w:rFonts w:ascii="Times New Roman" w:eastAsiaTheme="minorHAnsi" w:hAnsi="Times New Roman"/>
        </w:rPr>
      </w:pPr>
      <w:r w:rsidRPr="00FB28B4">
        <w:rPr>
          <w:rFonts w:ascii="Times New Roman" w:eastAsiaTheme="minorHAnsi" w:hAnsi="Times New Roman"/>
        </w:rPr>
        <w:t>Zgodnie z brzmieniem ust. 2 program zapewnienia i poprawy jakości audytu wewnętrznego powinien obejmować wszystkie aspekty prowadzenia audytu wewnętrznego, a szczególności powinien zostać w nim określony sposób:</w:t>
      </w:r>
    </w:p>
    <w:p w14:paraId="7E28B803" w14:textId="35E3968A" w:rsidR="0008553B" w:rsidRPr="00FB28B4" w:rsidRDefault="0008553B" w:rsidP="0008553B">
      <w:pPr>
        <w:numPr>
          <w:ilvl w:val="0"/>
          <w:numId w:val="18"/>
        </w:numPr>
        <w:spacing w:before="120" w:after="120" w:line="276" w:lineRule="auto"/>
        <w:jc w:val="both"/>
        <w:rPr>
          <w:rFonts w:ascii="Times New Roman" w:eastAsiaTheme="minorHAnsi" w:hAnsi="Times New Roman"/>
        </w:rPr>
      </w:pPr>
      <w:r w:rsidRPr="00FB28B4">
        <w:rPr>
          <w:rFonts w:ascii="Times New Roman" w:eastAsiaTheme="minorHAnsi" w:hAnsi="Times New Roman"/>
        </w:rPr>
        <w:t>monitorowania efektywności i skuteczności pr</w:t>
      </w:r>
      <w:r w:rsidR="005C1559" w:rsidRPr="00FB28B4">
        <w:rPr>
          <w:rFonts w:ascii="Times New Roman" w:eastAsiaTheme="minorHAnsi" w:hAnsi="Times New Roman"/>
        </w:rPr>
        <w:t>owadzenia audytu wewnętrznego w </w:t>
      </w:r>
      <w:r w:rsidRPr="00FB28B4">
        <w:rPr>
          <w:rFonts w:ascii="Times New Roman" w:eastAsiaTheme="minorHAnsi" w:hAnsi="Times New Roman"/>
        </w:rPr>
        <w:t>jednostce,</w:t>
      </w:r>
    </w:p>
    <w:p w14:paraId="7B2846CB" w14:textId="19C40A5E" w:rsidR="0008553B" w:rsidRPr="00FB28B4" w:rsidRDefault="0008553B" w:rsidP="0008553B">
      <w:pPr>
        <w:numPr>
          <w:ilvl w:val="0"/>
          <w:numId w:val="18"/>
        </w:numPr>
        <w:spacing w:before="120" w:after="120" w:line="276" w:lineRule="auto"/>
        <w:jc w:val="both"/>
        <w:rPr>
          <w:rFonts w:ascii="Times New Roman" w:eastAsiaTheme="minorHAnsi" w:hAnsi="Times New Roman"/>
        </w:rPr>
      </w:pPr>
      <w:r w:rsidRPr="00FB28B4">
        <w:rPr>
          <w:rFonts w:ascii="Times New Roman" w:eastAsiaTheme="minorHAnsi" w:hAnsi="Times New Roman"/>
        </w:rPr>
        <w:t>przeprowadzania ocen wewnętrznych i zew</w:t>
      </w:r>
      <w:r w:rsidR="005C1559" w:rsidRPr="00FB28B4">
        <w:rPr>
          <w:rFonts w:ascii="Times New Roman" w:eastAsiaTheme="minorHAnsi" w:hAnsi="Times New Roman"/>
        </w:rPr>
        <w:t>nętrznych audytu wewnętrznego w </w:t>
      </w:r>
      <w:r w:rsidRPr="00FB28B4">
        <w:rPr>
          <w:rFonts w:ascii="Times New Roman" w:eastAsiaTheme="minorHAnsi" w:hAnsi="Times New Roman"/>
        </w:rPr>
        <w:t>jednostce,</w:t>
      </w:r>
    </w:p>
    <w:p w14:paraId="5330E363" w14:textId="77777777" w:rsidR="0008553B" w:rsidRPr="00FB28B4" w:rsidRDefault="0008553B" w:rsidP="0008553B">
      <w:pPr>
        <w:numPr>
          <w:ilvl w:val="0"/>
          <w:numId w:val="18"/>
        </w:numPr>
        <w:spacing w:before="120" w:after="120" w:line="276" w:lineRule="auto"/>
        <w:jc w:val="both"/>
        <w:rPr>
          <w:rFonts w:ascii="Times New Roman" w:eastAsiaTheme="minorHAnsi" w:hAnsi="Times New Roman"/>
        </w:rPr>
      </w:pPr>
      <w:r w:rsidRPr="00FB28B4">
        <w:rPr>
          <w:rFonts w:ascii="Times New Roman" w:eastAsiaTheme="minorHAnsi" w:hAnsi="Times New Roman"/>
        </w:rPr>
        <w:t>informowania kierownika jednostki o wynikach programu, w tym o potrzebie wdrożenia działań korygujących lub naprawczych w zakresie funkcjonowania audytu wewnętrznego w jednostce.</w:t>
      </w:r>
    </w:p>
    <w:p w14:paraId="0595EAEC" w14:textId="7E6A4CA5" w:rsidR="0008553B" w:rsidRDefault="0008553B" w:rsidP="00C51AB0">
      <w:pPr>
        <w:spacing w:before="120" w:after="120" w:line="276" w:lineRule="auto"/>
        <w:jc w:val="both"/>
        <w:rPr>
          <w:rFonts w:ascii="Times New Roman" w:eastAsiaTheme="minorHAnsi" w:hAnsi="Times New Roman"/>
        </w:rPr>
      </w:pPr>
      <w:r w:rsidRPr="00FB28B4">
        <w:rPr>
          <w:rFonts w:ascii="Times New Roman" w:eastAsiaTheme="minorHAnsi" w:hAnsi="Times New Roman"/>
        </w:rPr>
        <w:t>Za opracowanie, wdrożenie i realizację programu, zgodnie z ust. 3,</w:t>
      </w:r>
      <w:r w:rsidRPr="0008553B">
        <w:rPr>
          <w:rFonts w:ascii="Times New Roman" w:eastAsiaTheme="minorHAnsi" w:hAnsi="Times New Roman"/>
        </w:rPr>
        <w:t xml:space="preserve"> odpowiada kierownik komórki audytu wewnętrznego albo usługodawca.</w:t>
      </w:r>
    </w:p>
    <w:p w14:paraId="039BFE5A" w14:textId="77777777" w:rsidR="00CF175A" w:rsidRPr="0008553B" w:rsidRDefault="00CF175A" w:rsidP="00C51AB0">
      <w:pPr>
        <w:spacing w:before="120" w:after="120" w:line="276" w:lineRule="auto"/>
        <w:jc w:val="both"/>
        <w:rPr>
          <w:rFonts w:ascii="Times New Roman" w:eastAsiaTheme="minorHAnsi" w:hAnsi="Times New Roman"/>
        </w:rPr>
      </w:pPr>
    </w:p>
    <w:p w14:paraId="6ED4FB85" w14:textId="4EE55978"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zmiana w art. 278</w:t>
      </w:r>
      <w:r w:rsidR="00503C19">
        <w:rPr>
          <w:rFonts w:ascii="Times New Roman" w:eastAsiaTheme="minorHAnsi" w:hAnsi="Times New Roman"/>
          <w:b/>
          <w:i/>
        </w:rPr>
        <w:t xml:space="preserve"> ust. 1 i 3</w:t>
      </w:r>
    </w:p>
    <w:p w14:paraId="7BC205FD" w14:textId="036498EF"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 xml:space="preserve">Zmiana brzmienia ust. 1 ma na celu usunięcie wątpliwości interpretacyjnych związanych z możliwością prowadzenia audytu wewnętrznego przez usługodawcę. Zaproponowany przepis wskazuje jednoznacznie, że zaistnienie co najmniej jednego z wymienionych warunków nie pozwala na prowadzenie audytu wewnętrznego w jednostce przez usługodawcę. </w:t>
      </w:r>
    </w:p>
    <w:p w14:paraId="5D6CB1AC" w14:textId="6ED8C6A2"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 xml:space="preserve">Jednocześnie w ust. 1 pkt. 1 i ust. 3, do </w:t>
      </w:r>
      <w:r w:rsidR="00B55B8E" w:rsidRPr="00F14414">
        <w:rPr>
          <w:rFonts w:ascii="Times New Roman" w:eastAsiaTheme="minorHAnsi" w:hAnsi="Times New Roman"/>
        </w:rPr>
        <w:t>127</w:t>
      </w:r>
      <w:r w:rsidRPr="00F14414">
        <w:rPr>
          <w:rFonts w:ascii="Times New Roman" w:eastAsiaTheme="minorHAnsi" w:hAnsi="Times New Roman"/>
        </w:rPr>
        <w:t> 000 tys. zł została podniesiona kwota, po przekroczeniu której nie jest możliwe prowadzenie audytu wewnętrznego przez usługodawcę. Zwiększenie kwoty odpowiada wzrostowi wskaźnika cen towarów i usług konsumpcyjnych za okres 2010-202</w:t>
      </w:r>
      <w:r w:rsidR="00B55B8E" w:rsidRPr="00F14414">
        <w:rPr>
          <w:rFonts w:ascii="Times New Roman" w:eastAsiaTheme="minorHAnsi" w:hAnsi="Times New Roman"/>
        </w:rPr>
        <w:t>1</w:t>
      </w:r>
      <w:r w:rsidRPr="00F14414">
        <w:rPr>
          <w:rFonts w:ascii="Times New Roman" w:eastAsiaTheme="minorHAnsi" w:hAnsi="Times New Roman"/>
        </w:rPr>
        <w:t xml:space="preserve"> i było również postulowane przez kierowników jednostek ze względu na brak uwzględnienia inflacji w zakresie ww. kwoty od dnia wejścia w życie obowiązujących przepisów ustawy. W ust. 3 doprecyzowano również, że kwota progowa będąca podstawą ustalenia obowiązku prowadzenia audytu wewnętrznego w jednostce obliczana jest na podstawie kwoty ujętej w projekcie uchwały budżetowej lub w uchwale budżetowej jednostki samorządu terytorialnego, analogicznie jak ma to miejsce w art. 274 ust. 3.</w:t>
      </w:r>
    </w:p>
    <w:p w14:paraId="2DE8E994" w14:textId="77777777" w:rsidR="001938CC" w:rsidRDefault="001938CC">
      <w:pPr>
        <w:autoSpaceDE w:val="0"/>
        <w:autoSpaceDN w:val="0"/>
        <w:adjustRightInd w:val="0"/>
        <w:spacing w:before="120" w:after="120" w:line="276" w:lineRule="auto"/>
        <w:jc w:val="both"/>
        <w:rPr>
          <w:rFonts w:ascii="Times New Roman" w:eastAsiaTheme="minorHAnsi" w:hAnsi="Times New Roman"/>
        </w:rPr>
      </w:pPr>
      <w:r w:rsidRPr="00F14414">
        <w:rPr>
          <w:rFonts w:ascii="Times New Roman" w:eastAsiaTheme="minorHAnsi" w:hAnsi="Times New Roman"/>
        </w:rPr>
        <w:t>Podniesienie kwoty odpowiada także wnioskowi sformułowanemu przez Najwyższą Izbę Kontroli, w wynikach kontroli „Audyt wewnętrzny w jednostkach samorządu terytorialnego”, która wniosła o przygotowanie przez Ministra Finansów nowelizacji</w:t>
      </w:r>
      <w:r w:rsidRPr="001938CC">
        <w:rPr>
          <w:rFonts w:ascii="Times New Roman" w:eastAsiaTheme="minorHAnsi" w:hAnsi="Times New Roman"/>
        </w:rPr>
        <w:t xml:space="preserve"> ustawy o finansach publicznych, polegającej na wprowadzeniu wyższego limitu kwoty określającej możliwość prowadzenia audytu wewnętrznego w jednostce samorządu terytorialnego przez usługodawcę.</w:t>
      </w:r>
    </w:p>
    <w:p w14:paraId="12797859" w14:textId="77777777" w:rsidR="00CF175A" w:rsidRDefault="00CF175A">
      <w:pPr>
        <w:autoSpaceDE w:val="0"/>
        <w:autoSpaceDN w:val="0"/>
        <w:adjustRightInd w:val="0"/>
        <w:spacing w:before="120" w:after="120" w:line="276" w:lineRule="auto"/>
        <w:jc w:val="both"/>
        <w:rPr>
          <w:rFonts w:ascii="Times New Roman" w:eastAsiaTheme="minorHAnsi" w:hAnsi="Times New Roman"/>
        </w:rPr>
      </w:pPr>
    </w:p>
    <w:p w14:paraId="590AA3E8" w14:textId="77777777" w:rsidR="00CF175A" w:rsidRPr="001938CC" w:rsidRDefault="00CF175A">
      <w:pPr>
        <w:autoSpaceDE w:val="0"/>
        <w:autoSpaceDN w:val="0"/>
        <w:adjustRightInd w:val="0"/>
        <w:spacing w:before="120" w:after="120" w:line="276" w:lineRule="auto"/>
        <w:jc w:val="both"/>
        <w:rPr>
          <w:rFonts w:ascii="Times New Roman" w:eastAsiaTheme="minorHAnsi" w:hAnsi="Times New Roman"/>
        </w:rPr>
      </w:pPr>
    </w:p>
    <w:p w14:paraId="5B55A14A" w14:textId="4FA63FA3"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lastRenderedPageBreak/>
        <w:t>zmiana w art. 279</w:t>
      </w:r>
      <w:r w:rsidR="00503C19">
        <w:rPr>
          <w:rFonts w:ascii="Times New Roman" w:eastAsiaTheme="minorHAnsi" w:hAnsi="Times New Roman"/>
          <w:b/>
          <w:i/>
        </w:rPr>
        <w:t xml:space="preserve"> ust. 1 pkt 3</w:t>
      </w:r>
    </w:p>
    <w:p w14:paraId="7F197B81" w14:textId="77777777"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Projektodawca w odniesieniu do art. 279 proponuje zmianę brzmienia ust. 1.</w:t>
      </w:r>
    </w:p>
    <w:p w14:paraId="0FA40C16" w14:textId="77777777"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W ust. 1 pkt 3 uzupełniony został katalog podmiotów mogących prowadzić audyt wewnętrzny jako usługodawca, ze względu na różnorodność formuły prowadzenia działalności gospodarczej przez osoby fizyczne. W związku z tym usługodawcą będzie mogła być również osoba fizyczna prowadząca działalność gospodarczą, która zatrudnia do prowadzenia audytu wewnętrznego osoby spełniające warunki określone w ustawie.</w:t>
      </w:r>
    </w:p>
    <w:p w14:paraId="10CE8148" w14:textId="77777777" w:rsidR="005C1559" w:rsidRPr="001938CC" w:rsidRDefault="005C1559">
      <w:pPr>
        <w:spacing w:before="120" w:after="120" w:line="276" w:lineRule="auto"/>
        <w:jc w:val="both"/>
        <w:rPr>
          <w:rFonts w:ascii="Times New Roman" w:eastAsiaTheme="minorHAnsi" w:hAnsi="Times New Roman"/>
        </w:rPr>
      </w:pPr>
    </w:p>
    <w:p w14:paraId="23706429" w14:textId="350FE55B"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zmiana art. 280</w:t>
      </w:r>
    </w:p>
    <w:p w14:paraId="29BF4D44" w14:textId="77777777" w:rsidR="001938CC" w:rsidRPr="00F14414" w:rsidRDefault="001938CC">
      <w:pPr>
        <w:autoSpaceDE w:val="0"/>
        <w:autoSpaceDN w:val="0"/>
        <w:adjustRightInd w:val="0"/>
        <w:spacing w:before="120" w:after="120" w:line="276" w:lineRule="auto"/>
        <w:jc w:val="both"/>
        <w:rPr>
          <w:rFonts w:ascii="Times New Roman" w:eastAsiaTheme="minorHAnsi" w:hAnsi="Times New Roman"/>
        </w:rPr>
      </w:pPr>
      <w:r w:rsidRPr="00F14414">
        <w:rPr>
          <w:rFonts w:ascii="Times New Roman" w:eastAsiaTheme="minorHAnsi" w:hAnsi="Times New Roman"/>
        </w:rPr>
        <w:t>Projektodawca w odniesieniu do art. 280 proponuje zmianę jego brzmienia.</w:t>
      </w:r>
    </w:p>
    <w:p w14:paraId="2B03F169" w14:textId="7491D657" w:rsidR="001938CC" w:rsidRPr="00F14414" w:rsidRDefault="001938CC">
      <w:pPr>
        <w:autoSpaceDE w:val="0"/>
        <w:autoSpaceDN w:val="0"/>
        <w:adjustRightInd w:val="0"/>
        <w:spacing w:before="120" w:after="120" w:line="276" w:lineRule="auto"/>
        <w:jc w:val="both"/>
        <w:rPr>
          <w:rFonts w:ascii="Times New Roman" w:eastAsiaTheme="minorHAnsi" w:hAnsi="Times New Roman"/>
        </w:rPr>
      </w:pPr>
      <w:r w:rsidRPr="00F14414">
        <w:rPr>
          <w:rFonts w:ascii="Times New Roman" w:eastAsiaTheme="minorHAnsi" w:hAnsi="Times New Roman"/>
        </w:rPr>
        <w:t>Nowe brzmienie ust. 1 zakłada podległość kierownika komórki audytu wewnętrznego w urzędzie administracji rządowej bezpośrednio kierownikowi jednostki, również w urzędach administracji rządowej, w których tworzy się stanowisko dyrektora generalnego</w:t>
      </w:r>
      <w:r w:rsidR="00C26A7B" w:rsidRPr="00F14414">
        <w:rPr>
          <w:rFonts w:ascii="Times New Roman" w:eastAsiaTheme="minorHAnsi" w:hAnsi="Times New Roman"/>
        </w:rPr>
        <w:t>, w pełnym zakresie, tj. zarówno merytorycznym jak i organizacyjnym</w:t>
      </w:r>
      <w:r w:rsidRPr="00F14414">
        <w:rPr>
          <w:rFonts w:ascii="Times New Roman" w:eastAsiaTheme="minorHAnsi" w:hAnsi="Times New Roman"/>
        </w:rPr>
        <w:t>.</w:t>
      </w:r>
    </w:p>
    <w:p w14:paraId="51511C77" w14:textId="0B3045B5" w:rsidR="001938CC" w:rsidRPr="001938CC" w:rsidRDefault="001938CC">
      <w:pPr>
        <w:autoSpaceDE w:val="0"/>
        <w:autoSpaceDN w:val="0"/>
        <w:adjustRightInd w:val="0"/>
        <w:spacing w:before="120" w:after="120" w:line="276" w:lineRule="auto"/>
        <w:jc w:val="both"/>
        <w:rPr>
          <w:rFonts w:ascii="Times New Roman" w:eastAsiaTheme="minorHAnsi" w:hAnsi="Times New Roman"/>
        </w:rPr>
      </w:pPr>
      <w:r w:rsidRPr="00F14414">
        <w:rPr>
          <w:rFonts w:ascii="Times New Roman" w:eastAsiaTheme="minorHAnsi" w:hAnsi="Times New Roman"/>
        </w:rPr>
        <w:t>W ocenie projektodawcy nie ulega wątpliwości, że audyt wewnętrzny ma za zadanie obiektywnie oceniać procesy toczące się w organizacji i wspierać kierownika jednostki</w:t>
      </w:r>
      <w:r w:rsidR="00C26A7B" w:rsidRPr="00F14414">
        <w:rPr>
          <w:rFonts w:ascii="Times New Roman" w:eastAsiaTheme="minorHAnsi" w:hAnsi="Times New Roman"/>
        </w:rPr>
        <w:t xml:space="preserve"> oraz </w:t>
      </w:r>
      <w:r w:rsidRPr="00F14414">
        <w:rPr>
          <w:rFonts w:ascii="Times New Roman" w:eastAsiaTheme="minorHAnsi" w:hAnsi="Times New Roman"/>
        </w:rPr>
        <w:t>dyrektora generalnego. Niemniej jednak, dla zapewnienia pełnego obiektywizmu osób prowadzących audyt wewnętrzny – w szczególności, gdy dyrektor generalny odpowiada za zapewnienie funkcjonowania i ciągłości pracy urzędu, warunki jego działania, a także organizację pracy, niezbędne jest zachowanie bezpośredniej podległości kierownika komórki audytu wewnętrznego kierownikowi jednostki, tj. osobie, która może podejmować decyzje zarządcze odnoszące się do wszystkich osób i komórek organizacyjnych urzędu. Zapewni to odpowiednią linię raportowania do kierownika jednostki i w odpowiednich przypadkach do dyrektora generalnego, który realizuje wiele zadań w imieniu i na rzecz kierownika jednostki. W ocenie projektodawcy, wszelkie pośrednictwo w zakresie kontaktu i w procesie raportowania na linii kierownik komórki audytu wewnętrznego – kierownik jednostki, może mieć wpływ na ostateczny kształt i wyniki pracy audytu we</w:t>
      </w:r>
      <w:r w:rsidRPr="001938CC">
        <w:rPr>
          <w:rFonts w:ascii="Times New Roman" w:eastAsiaTheme="minorHAnsi" w:hAnsi="Times New Roman"/>
        </w:rPr>
        <w:t>wnętrznego, a więc może wpływać na obiektywizm audytorów wewnętrznych.</w:t>
      </w:r>
    </w:p>
    <w:p w14:paraId="2FBDDA79" w14:textId="55EEF490" w:rsidR="001938CC" w:rsidRPr="001938CC" w:rsidRDefault="001938CC">
      <w:pPr>
        <w:autoSpaceDE w:val="0"/>
        <w:autoSpaceDN w:val="0"/>
        <w:adjustRightInd w:val="0"/>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W związku z tym dla zapewnienia spójności przepisów dotyczących zadań dyrektora generalnego i działań audytu wewnętrznego w jednostce wskazana jest nowelizacja w zakresie </w:t>
      </w:r>
      <w:r w:rsidRPr="00F14414">
        <w:rPr>
          <w:rFonts w:ascii="Times New Roman" w:eastAsiaTheme="minorHAnsi" w:hAnsi="Times New Roman"/>
        </w:rPr>
        <w:t>art. 25 ust. 4 pkt. 1 lit. h</w:t>
      </w:r>
      <w:r w:rsidRPr="001938CC">
        <w:rPr>
          <w:rFonts w:ascii="Times New Roman" w:eastAsiaTheme="minorHAnsi" w:hAnsi="Times New Roman"/>
        </w:rPr>
        <w:t xml:space="preserve"> ustawy </w:t>
      </w:r>
      <w:r w:rsidRPr="001938CC">
        <w:rPr>
          <w:rFonts w:ascii="Times New Roman" w:eastAsiaTheme="minorHAnsi" w:hAnsi="Times New Roman"/>
          <w:i/>
        </w:rPr>
        <w:t>o służbie cywilnej</w:t>
      </w:r>
      <w:r w:rsidRPr="001938CC">
        <w:rPr>
          <w:rFonts w:ascii="Times New Roman" w:eastAsiaTheme="minorHAnsi" w:hAnsi="Times New Roman"/>
          <w:iCs/>
          <w:vertAlign w:val="superscript"/>
        </w:rPr>
        <w:footnoteReference w:id="10"/>
      </w:r>
      <w:r w:rsidRPr="001938CC">
        <w:rPr>
          <w:rFonts w:ascii="Times New Roman" w:eastAsiaTheme="minorHAnsi" w:hAnsi="Times New Roman"/>
          <w:i/>
        </w:rPr>
        <w:t xml:space="preserve"> </w:t>
      </w:r>
      <w:r w:rsidRPr="009448A1">
        <w:rPr>
          <w:rFonts w:ascii="Times New Roman" w:eastAsiaTheme="minorHAnsi" w:hAnsi="Times New Roman"/>
        </w:rPr>
        <w:t>(</w:t>
      </w:r>
      <w:r w:rsidRPr="00F14414">
        <w:rPr>
          <w:rFonts w:ascii="Times New Roman" w:eastAsiaTheme="minorHAnsi" w:hAnsi="Times New Roman"/>
        </w:rPr>
        <w:t xml:space="preserve">art. </w:t>
      </w:r>
      <w:r w:rsidR="00252AAE" w:rsidRPr="00F14414">
        <w:rPr>
          <w:rFonts w:ascii="Times New Roman" w:eastAsiaTheme="minorHAnsi" w:hAnsi="Times New Roman"/>
        </w:rPr>
        <w:t>21</w:t>
      </w:r>
      <w:r w:rsidRPr="001938CC">
        <w:rPr>
          <w:rFonts w:ascii="Times New Roman" w:eastAsiaTheme="minorHAnsi" w:hAnsi="Times New Roman"/>
        </w:rPr>
        <w:t xml:space="preserve"> ustawy zmieniającej). Celem zmiany jest usunięcie zapisu mówiącego o nadzorze dyrektora generalnego nad prowadzeniem audytu wewnętrznego. Wprowadzenie tej zmiany wyeliminuje istniejące problemy natury interpretacyjnej, ponieważ wielu dyrektorów generalnych opierając się właśnie na </w:t>
      </w:r>
      <w:r w:rsidR="00C26A7B">
        <w:rPr>
          <w:rFonts w:ascii="Times New Roman" w:eastAsiaTheme="minorHAnsi" w:hAnsi="Times New Roman"/>
        </w:rPr>
        <w:t>przepisach</w:t>
      </w:r>
      <w:r w:rsidRPr="001938CC">
        <w:rPr>
          <w:rFonts w:ascii="Times New Roman" w:eastAsiaTheme="minorHAnsi" w:hAnsi="Times New Roman"/>
        </w:rPr>
        <w:t xml:space="preserve"> ustawy o </w:t>
      </w:r>
      <w:r w:rsidRPr="001938CC">
        <w:rPr>
          <w:rFonts w:ascii="Times New Roman" w:eastAsiaTheme="minorHAnsi" w:hAnsi="Times New Roman"/>
          <w:i/>
        </w:rPr>
        <w:t>służbie cywilnej</w:t>
      </w:r>
      <w:r w:rsidRPr="001938CC">
        <w:rPr>
          <w:rFonts w:ascii="Times New Roman" w:eastAsiaTheme="minorHAnsi" w:hAnsi="Times New Roman"/>
        </w:rPr>
        <w:t xml:space="preserve"> interpretowała rozszerzająco zakres nadzoru nad audytem wewnętrznym na kwestie merytoryczne, nie uwzględniając brzmienia przepisów ustawy o finansach publicznych, które wprost przypisują kierownikowi jednostki odpowiedzialność i zadania związane z prowadzeniem audytu wewnętrznego. Do realizacji tych zadań kierownik jednostki może i będzie mógł dalej upoważnić m.in. dyrektora generalnego, niemniej jednak </w:t>
      </w:r>
      <w:r w:rsidRPr="001938CC">
        <w:rPr>
          <w:rFonts w:ascii="Times New Roman" w:eastAsiaTheme="minorHAnsi" w:hAnsi="Times New Roman"/>
        </w:rPr>
        <w:lastRenderedPageBreak/>
        <w:t>upoważnienie to nie zwolni kierownika jednostki z odpowiedzialności za prawidłowość realizacji tych zadań przez osobę upoważnioną.</w:t>
      </w:r>
    </w:p>
    <w:p w14:paraId="2173143F" w14:textId="55C314F4" w:rsidR="001938CC" w:rsidRDefault="001938CC">
      <w:pPr>
        <w:spacing w:before="120" w:after="120" w:line="276" w:lineRule="auto"/>
        <w:jc w:val="both"/>
        <w:rPr>
          <w:rFonts w:ascii="Times New Roman" w:eastAsiaTheme="minorHAnsi" w:hAnsi="Times New Roman"/>
          <w:bCs/>
        </w:rPr>
      </w:pPr>
      <w:r w:rsidRPr="001938CC">
        <w:rPr>
          <w:rFonts w:ascii="Times New Roman" w:eastAsiaTheme="minorHAnsi" w:hAnsi="Times New Roman"/>
        </w:rPr>
        <w:t xml:space="preserve">W </w:t>
      </w:r>
      <w:r w:rsidRPr="001938CC">
        <w:rPr>
          <w:rFonts w:ascii="Times New Roman" w:eastAsiaTheme="minorHAnsi" w:hAnsi="Times New Roman"/>
          <w:i/>
        </w:rPr>
        <w:t xml:space="preserve">ust. 2 </w:t>
      </w:r>
      <w:r w:rsidRPr="001938CC">
        <w:rPr>
          <w:rFonts w:ascii="Times New Roman" w:eastAsiaTheme="minorHAnsi" w:hAnsi="Times New Roman"/>
        </w:rPr>
        <w:t>natomiast podkreśl</w:t>
      </w:r>
      <w:r w:rsidR="00C26A7B">
        <w:rPr>
          <w:rFonts w:ascii="Times New Roman" w:eastAsiaTheme="minorHAnsi" w:hAnsi="Times New Roman"/>
        </w:rPr>
        <w:t>ono</w:t>
      </w:r>
      <w:r w:rsidRPr="001938CC">
        <w:rPr>
          <w:rFonts w:ascii="Times New Roman" w:eastAsiaTheme="minorHAnsi" w:hAnsi="Times New Roman"/>
        </w:rPr>
        <w:t xml:space="preserve"> konieczność zapewnienia kierownikowi komórki audytu wewnętrznego takiego wymiaru </w:t>
      </w:r>
      <w:r w:rsidRPr="001938CC">
        <w:rPr>
          <w:rFonts w:ascii="Times New Roman" w:eastAsiaTheme="minorHAnsi" w:hAnsi="Times New Roman"/>
          <w:bCs/>
        </w:rPr>
        <w:t>czasu pracy, który umożliwi realizowanie zadań komórki audytu wewnętrznego w jednostce. Przyjęte rozwiązanie odpowiada w części ustaleniom Najwyższej Izby Kontroli w</w:t>
      </w:r>
      <w:r w:rsidRPr="001938CC">
        <w:rPr>
          <w:rFonts w:ascii="Times New Roman" w:eastAsiaTheme="minorHAnsi" w:hAnsi="Times New Roman"/>
        </w:rPr>
        <w:t xml:space="preserve"> wynikach kontroli „</w:t>
      </w:r>
      <w:r w:rsidRPr="001938CC">
        <w:rPr>
          <w:rFonts w:ascii="Times New Roman" w:eastAsiaTheme="minorHAnsi" w:hAnsi="Times New Roman"/>
          <w:i/>
        </w:rPr>
        <w:t>Audyt wewnętrzny w jednostkach samorządu terytorialnego</w:t>
      </w:r>
      <w:r w:rsidRPr="001938CC">
        <w:rPr>
          <w:rFonts w:ascii="Times New Roman" w:eastAsiaTheme="minorHAnsi" w:hAnsi="Times New Roman"/>
        </w:rPr>
        <w:t xml:space="preserve">” gdzie stwierdzono, że </w:t>
      </w:r>
      <w:r w:rsidRPr="001938CC">
        <w:rPr>
          <w:rFonts w:ascii="Times New Roman" w:eastAsiaTheme="minorHAnsi" w:hAnsi="Times New Roman"/>
          <w:i/>
        </w:rPr>
        <w:t>„wymiar zatrudnienia audytorów wewnętrznych w komórce audytu wewnętrznego jest jednym z czynników wpływających na właściwą i efektywną realizację zadań audytu wewnętrznego.”.</w:t>
      </w:r>
      <w:r w:rsidRPr="001938CC">
        <w:rPr>
          <w:rFonts w:ascii="Times New Roman" w:eastAsiaTheme="minorHAnsi" w:hAnsi="Times New Roman"/>
          <w:bCs/>
        </w:rPr>
        <w:t xml:space="preserve"> Przepis ten stosuje się także do kierowników komórek audytu wewnętrznego pełniących służbę w jednostce.</w:t>
      </w:r>
    </w:p>
    <w:p w14:paraId="083ED041" w14:textId="77777777" w:rsidR="00CF175A" w:rsidRPr="001938CC" w:rsidRDefault="00CF175A">
      <w:pPr>
        <w:spacing w:before="120" w:after="120" w:line="276" w:lineRule="auto"/>
        <w:jc w:val="both"/>
        <w:rPr>
          <w:rFonts w:ascii="Times New Roman" w:eastAsiaTheme="minorHAnsi" w:hAnsi="Times New Roman"/>
        </w:rPr>
      </w:pPr>
    </w:p>
    <w:p w14:paraId="56DC88E1" w14:textId="6EC9C0D4"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w:t>
      </w:r>
      <w:r w:rsidR="00503C19">
        <w:rPr>
          <w:rFonts w:ascii="Times New Roman" w:eastAsiaTheme="minorHAnsi" w:hAnsi="Times New Roman"/>
          <w:b/>
          <w:i/>
        </w:rPr>
        <w:t>a</w:t>
      </w:r>
      <w:r w:rsidRPr="001938CC">
        <w:rPr>
          <w:rFonts w:ascii="Times New Roman" w:eastAsiaTheme="minorHAnsi" w:hAnsi="Times New Roman"/>
          <w:b/>
          <w:i/>
        </w:rPr>
        <w:t xml:space="preserve"> art. 281</w:t>
      </w:r>
    </w:p>
    <w:p w14:paraId="657C1154" w14:textId="5867CBC0"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Projektodawca w odniesieniu do </w:t>
      </w:r>
      <w:r w:rsidRPr="001938CC">
        <w:rPr>
          <w:rFonts w:ascii="Times New Roman" w:eastAsiaTheme="minorHAnsi" w:hAnsi="Times New Roman"/>
          <w:i/>
        </w:rPr>
        <w:t>art. 281</w:t>
      </w:r>
      <w:r w:rsidRPr="001938CC">
        <w:rPr>
          <w:rFonts w:ascii="Times New Roman" w:eastAsiaTheme="minorHAnsi" w:hAnsi="Times New Roman"/>
        </w:rPr>
        <w:t xml:space="preserve"> proponuje dodanie </w:t>
      </w:r>
      <w:r w:rsidR="00B55B8E">
        <w:rPr>
          <w:rFonts w:ascii="Times New Roman" w:eastAsiaTheme="minorHAnsi" w:hAnsi="Times New Roman"/>
        </w:rPr>
        <w:t xml:space="preserve">zmianę jego brzmienia. </w:t>
      </w:r>
    </w:p>
    <w:p w14:paraId="4F7ADF7D" w14:textId="77413165" w:rsidR="00B55B8E" w:rsidRPr="00F14414" w:rsidRDefault="00B55B8E">
      <w:pPr>
        <w:spacing w:before="120" w:after="120" w:line="276" w:lineRule="auto"/>
        <w:jc w:val="both"/>
        <w:rPr>
          <w:rFonts w:ascii="Times New Roman" w:eastAsiaTheme="minorHAnsi" w:hAnsi="Times New Roman"/>
        </w:rPr>
      </w:pPr>
      <w:r w:rsidRPr="00F14414">
        <w:rPr>
          <w:rFonts w:ascii="Times New Roman" w:eastAsiaTheme="minorHAnsi" w:hAnsi="Times New Roman"/>
        </w:rPr>
        <w:t>Zgodnie z ust. 1, kierownicy komórek audytu wewnętrznego urzędu obsługującego ministra kierującego działem oraz jednostki w dziale nadal będą objęci ochroną stosunku pracy i w ich przypadku rozwiązanie stosunku pracy i zmiana warunków pracy i płacy będzie wymagało zgody komitetu audytu. Natomiast w ust. 2 doprecyzowano oraz uproszczono przepisy dotyczące ochrony stosunku pracy określając przypadki, w których nie będzie wymagane wyrażenie takiej zgody przez właściwy komitet audytu. Dotyczy to wyłącznie sytuacji  gdy:</w:t>
      </w:r>
    </w:p>
    <w:p w14:paraId="320AE56B" w14:textId="6B126931" w:rsidR="001938CC" w:rsidRPr="001938CC" w:rsidRDefault="005506C8">
      <w:pPr>
        <w:numPr>
          <w:ilvl w:val="0"/>
          <w:numId w:val="12"/>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r</w:t>
      </w:r>
      <w:r w:rsidR="00B55B8E" w:rsidRPr="00F14414">
        <w:rPr>
          <w:rFonts w:ascii="Times New Roman" w:eastAsiaTheme="minorHAnsi" w:hAnsi="Times New Roman"/>
        </w:rPr>
        <w:t xml:space="preserve">ozwiązanie </w:t>
      </w:r>
      <w:r w:rsidR="001938CC" w:rsidRPr="00F14414">
        <w:rPr>
          <w:rFonts w:ascii="Times New Roman" w:eastAsiaTheme="minorHAnsi" w:hAnsi="Times New Roman"/>
        </w:rPr>
        <w:t>stosunk</w:t>
      </w:r>
      <w:r w:rsidR="00B55B8E" w:rsidRPr="00F14414">
        <w:rPr>
          <w:rFonts w:ascii="Times New Roman" w:eastAsiaTheme="minorHAnsi" w:hAnsi="Times New Roman"/>
        </w:rPr>
        <w:t>u</w:t>
      </w:r>
      <w:r w:rsidR="001938CC" w:rsidRPr="00F14414">
        <w:rPr>
          <w:rFonts w:ascii="Times New Roman" w:eastAsiaTheme="minorHAnsi" w:hAnsi="Times New Roman"/>
        </w:rPr>
        <w:t xml:space="preserve"> pracy </w:t>
      </w:r>
      <w:r w:rsidR="00B55B8E" w:rsidRPr="00F14414">
        <w:rPr>
          <w:rFonts w:ascii="Times New Roman" w:eastAsiaTheme="minorHAnsi" w:hAnsi="Times New Roman"/>
        </w:rPr>
        <w:t>nastąpi</w:t>
      </w:r>
      <w:r w:rsidR="001938CC" w:rsidRPr="00F14414">
        <w:rPr>
          <w:rFonts w:ascii="Times New Roman" w:eastAsiaTheme="minorHAnsi" w:hAnsi="Times New Roman"/>
        </w:rPr>
        <w:t xml:space="preserve"> na mocy porozumienia stron</w:t>
      </w:r>
      <w:r w:rsidR="001938CC" w:rsidRPr="001938CC">
        <w:rPr>
          <w:rFonts w:ascii="Times New Roman" w:eastAsiaTheme="minorHAnsi" w:hAnsi="Times New Roman"/>
        </w:rPr>
        <w:t xml:space="preserve"> albo przez oświadczenie kierownika komórki audytu wewnętrznego</w:t>
      </w:r>
      <w:r w:rsidR="00C51AB0">
        <w:rPr>
          <w:rFonts w:ascii="Times New Roman" w:eastAsiaTheme="minorHAnsi" w:hAnsi="Times New Roman"/>
        </w:rPr>
        <w:t xml:space="preserve"> </w:t>
      </w:r>
      <w:r w:rsidR="00B55B8E">
        <w:rPr>
          <w:rFonts w:ascii="Times New Roman" w:eastAsiaTheme="minorHAnsi" w:hAnsi="Times New Roman"/>
        </w:rPr>
        <w:t>albo</w:t>
      </w:r>
      <w:r w:rsidR="001938CC" w:rsidRPr="001938CC">
        <w:rPr>
          <w:rFonts w:ascii="Times New Roman" w:eastAsiaTheme="minorHAnsi" w:hAnsi="Times New Roman"/>
        </w:rPr>
        <w:t xml:space="preserve"> z upływem czasu, na który umowa została zawarta,</w:t>
      </w:r>
    </w:p>
    <w:p w14:paraId="67100BC4" w14:textId="3C5A6F11" w:rsidR="001938CC" w:rsidRPr="00B55B8E" w:rsidRDefault="001938CC" w:rsidP="00B55B8E">
      <w:pPr>
        <w:numPr>
          <w:ilvl w:val="0"/>
          <w:numId w:val="12"/>
        </w:numPr>
        <w:spacing w:before="120" w:after="200" w:line="276" w:lineRule="auto"/>
        <w:contextualSpacing/>
        <w:jc w:val="both"/>
        <w:rPr>
          <w:rFonts w:ascii="Times New Roman" w:eastAsiaTheme="minorHAnsi" w:hAnsi="Times New Roman"/>
        </w:rPr>
      </w:pPr>
      <w:r w:rsidRPr="001938CC">
        <w:rPr>
          <w:rFonts w:ascii="Times New Roman" w:eastAsiaTheme="minorHAnsi" w:hAnsi="Times New Roman"/>
        </w:rPr>
        <w:t>kierownik komórki audytu wewnętrznego wyrazi zgodę na zaproponowane warunki pracy lub płacy.</w:t>
      </w:r>
    </w:p>
    <w:p w14:paraId="5096D562" w14:textId="64D633AE" w:rsidR="00382797" w:rsidRDefault="00382797">
      <w:pPr>
        <w:spacing w:before="120" w:after="120" w:line="276" w:lineRule="auto"/>
        <w:jc w:val="both"/>
        <w:rPr>
          <w:rFonts w:ascii="Times New Roman" w:eastAsiaTheme="minorHAnsi" w:hAnsi="Times New Roman"/>
          <w:bCs/>
        </w:rPr>
      </w:pPr>
      <w:r w:rsidRPr="00382797">
        <w:rPr>
          <w:rFonts w:ascii="Times New Roman" w:eastAsiaTheme="minorHAnsi" w:hAnsi="Times New Roman"/>
          <w:bCs/>
        </w:rPr>
        <w:t>Jednocześnie kierownik jednostki ma obowiązek powiadomić niezwłocznie właściwy komitet audytu o wystąpieniu powyższych okoliczności (ust.3).</w:t>
      </w:r>
    </w:p>
    <w:p w14:paraId="6DA04C7F" w14:textId="77777777" w:rsidR="001938CC" w:rsidRPr="00F14414" w:rsidRDefault="001938CC">
      <w:pPr>
        <w:spacing w:before="120" w:after="120" w:line="276" w:lineRule="auto"/>
        <w:jc w:val="both"/>
        <w:rPr>
          <w:rFonts w:ascii="Times New Roman" w:eastAsiaTheme="minorHAnsi" w:hAnsi="Times New Roman"/>
          <w:bCs/>
        </w:rPr>
      </w:pPr>
      <w:r w:rsidRPr="00F14414">
        <w:rPr>
          <w:rFonts w:ascii="Times New Roman" w:eastAsiaTheme="minorHAnsi" w:hAnsi="Times New Roman"/>
          <w:bCs/>
        </w:rPr>
        <w:t>Wprowadzone rozwiązanie pozwoli na wyeliminowanie wątpliwości interpretacyjnych i sytuacji, w których podwyższenie wynagrodzenia, przejście na emeryturę lub zmiana pracodawcy (zgodnie z wolą kierownika komórki audytu wewnętrznego) będzie wymagało uprzedniej zgody komitetu audytu.</w:t>
      </w:r>
    </w:p>
    <w:p w14:paraId="39A38C5D" w14:textId="77777777" w:rsidR="001938CC" w:rsidRPr="00F14414" w:rsidRDefault="001938CC">
      <w:pPr>
        <w:spacing w:before="120" w:after="120" w:line="276" w:lineRule="auto"/>
        <w:jc w:val="both"/>
        <w:rPr>
          <w:rFonts w:ascii="Times New Roman" w:eastAsiaTheme="minorHAnsi" w:hAnsi="Times New Roman"/>
          <w:bCs/>
        </w:rPr>
      </w:pPr>
      <w:r w:rsidRPr="00F14414">
        <w:rPr>
          <w:rFonts w:ascii="Times New Roman" w:eastAsiaTheme="minorHAnsi" w:hAnsi="Times New Roman"/>
          <w:bCs/>
        </w:rPr>
        <w:t>W związku z wprowadzoną w art. 275 ust. 1 pkt 1 poprawką sankcjonująca możliwość pełnienia służby na stanowisku audytora wewnętrznego istnieje konieczność doprecyzowania, że wykonywanie kompetencji komitetów audytu w odniesieniu do osób wykonujących obowiązki służbowe na podstawie stosunku administracyjnoprawnego, odbywa się z uwzględnieniem zasad określonych w poszczególnych pragmatykach niepracowniczych.</w:t>
      </w:r>
    </w:p>
    <w:p w14:paraId="524C98BC" w14:textId="4FC1E252" w:rsidR="001938CC" w:rsidRPr="00F14414" w:rsidRDefault="001938CC">
      <w:pPr>
        <w:spacing w:before="120" w:after="120" w:line="276" w:lineRule="auto"/>
        <w:jc w:val="both"/>
        <w:rPr>
          <w:rFonts w:ascii="Times New Roman" w:eastAsiaTheme="minorHAnsi" w:hAnsi="Times New Roman"/>
          <w:bCs/>
        </w:rPr>
      </w:pPr>
      <w:r w:rsidRPr="00F14414">
        <w:rPr>
          <w:rFonts w:ascii="Times New Roman" w:eastAsiaTheme="minorHAnsi" w:hAnsi="Times New Roman"/>
          <w:bCs/>
        </w:rPr>
        <w:t>Ponadto z uwagi na kierunek przekształceń w strukturze administracji rządowej termin „ministerstwo” zastąpiony został terminem „urzędu obsługującego ministra kierującego działem” (ust. 1).</w:t>
      </w:r>
    </w:p>
    <w:p w14:paraId="53A10C3E" w14:textId="77777777" w:rsidR="00EE56E7" w:rsidRDefault="00EE56E7">
      <w:pPr>
        <w:spacing w:before="120" w:after="120" w:line="276" w:lineRule="auto"/>
        <w:jc w:val="both"/>
        <w:rPr>
          <w:rFonts w:ascii="Times New Roman" w:eastAsia="Times New Roman" w:hAnsi="Times New Roman"/>
          <w:bCs/>
          <w:lang w:eastAsia="pl-PL"/>
        </w:rPr>
      </w:pPr>
    </w:p>
    <w:p w14:paraId="6CC80056" w14:textId="77777777" w:rsidR="00CF175A" w:rsidRPr="001938CC" w:rsidRDefault="00CF175A">
      <w:pPr>
        <w:spacing w:before="120" w:after="120" w:line="276" w:lineRule="auto"/>
        <w:jc w:val="both"/>
        <w:rPr>
          <w:rFonts w:ascii="Times New Roman" w:eastAsia="Times New Roman" w:hAnsi="Times New Roman"/>
          <w:bCs/>
          <w:lang w:eastAsia="pl-PL"/>
        </w:rPr>
      </w:pPr>
    </w:p>
    <w:p w14:paraId="5F8C530A" w14:textId="22FE7F83"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lastRenderedPageBreak/>
        <w:t>zmiana art. 282</w:t>
      </w:r>
    </w:p>
    <w:p w14:paraId="255A924F" w14:textId="5A354B91" w:rsidR="001938CC" w:rsidRPr="001938CC" w:rsidRDefault="001938CC">
      <w:pPr>
        <w:spacing w:before="120" w:after="120" w:line="276" w:lineRule="auto"/>
        <w:jc w:val="both"/>
        <w:rPr>
          <w:rFonts w:ascii="Times New Roman" w:eastAsiaTheme="minorHAnsi" w:hAnsi="Times New Roman"/>
          <w:spacing w:val="-2"/>
        </w:rPr>
      </w:pPr>
      <w:r w:rsidRPr="001938CC">
        <w:rPr>
          <w:rFonts w:ascii="Times New Roman" w:eastAsiaTheme="minorHAnsi" w:hAnsi="Times New Roman"/>
          <w:spacing w:val="-2"/>
        </w:rPr>
        <w:t xml:space="preserve">W </w:t>
      </w:r>
      <w:r w:rsidRPr="001938CC">
        <w:rPr>
          <w:rFonts w:ascii="Times New Roman" w:eastAsiaTheme="minorHAnsi" w:hAnsi="Times New Roman"/>
          <w:i/>
          <w:spacing w:val="-2"/>
        </w:rPr>
        <w:t>ust. 1</w:t>
      </w:r>
      <w:r w:rsidRPr="001938CC">
        <w:rPr>
          <w:rFonts w:ascii="Times New Roman" w:eastAsiaTheme="minorHAnsi" w:hAnsi="Times New Roman"/>
          <w:spacing w:val="-2"/>
        </w:rPr>
        <w:t xml:space="preserve"> wprowadzono </w:t>
      </w:r>
      <w:r w:rsidR="00F14414">
        <w:rPr>
          <w:rFonts w:ascii="Times New Roman" w:eastAsiaTheme="minorHAnsi" w:hAnsi="Times New Roman"/>
          <w:spacing w:val="-2"/>
        </w:rPr>
        <w:t>prze</w:t>
      </w:r>
      <w:r w:rsidRPr="001938CC">
        <w:rPr>
          <w:rFonts w:ascii="Times New Roman" w:eastAsiaTheme="minorHAnsi" w:hAnsi="Times New Roman"/>
          <w:spacing w:val="-2"/>
        </w:rPr>
        <w:t xml:space="preserve">pis podkreślający konieczność tworzenia komórek audytu wewnętrznego wyodrębnionych organizacyjnie w strukturze jednostki, co wyklucza możliwości łączenia ich z innymi komórkami organizacyjnymi. </w:t>
      </w:r>
      <w:r w:rsidR="00D82CA9">
        <w:rPr>
          <w:rFonts w:ascii="Times New Roman" w:eastAsiaTheme="minorHAnsi" w:hAnsi="Times New Roman"/>
          <w:spacing w:val="-2"/>
        </w:rPr>
        <w:t>Przepis</w:t>
      </w:r>
      <w:r w:rsidRPr="001938CC">
        <w:rPr>
          <w:rFonts w:ascii="Times New Roman" w:eastAsiaTheme="minorHAnsi" w:hAnsi="Times New Roman"/>
          <w:spacing w:val="-2"/>
        </w:rPr>
        <w:t xml:space="preserve"> ma na celu podkreślenie niezależności niezbędnej komórkom audytu ze względu na wykonywane przez nie zadania, a także zapewnienie spójności rozwiązań organizacyjnych we wszystkich jednostkach sektora publicznego posiadających komórki audytu wewnętrznego.</w:t>
      </w:r>
    </w:p>
    <w:p w14:paraId="1EAB94DA" w14:textId="77777777" w:rsidR="001938CC" w:rsidRPr="001938CC" w:rsidRDefault="001938CC">
      <w:pPr>
        <w:spacing w:before="120" w:after="120" w:line="276" w:lineRule="auto"/>
        <w:jc w:val="both"/>
        <w:rPr>
          <w:rFonts w:ascii="Times New Roman" w:eastAsiaTheme="minorHAnsi" w:hAnsi="Times New Roman"/>
          <w:i/>
          <w:spacing w:val="-2"/>
        </w:rPr>
      </w:pPr>
      <w:r w:rsidRPr="001938CC">
        <w:rPr>
          <w:rFonts w:ascii="Times New Roman" w:eastAsiaTheme="minorHAnsi" w:hAnsi="Times New Roman"/>
          <w:spacing w:val="-2"/>
        </w:rPr>
        <w:t>Należy również zwrócić uwagę na opinię Najwyższej Izby Kontroli wyrażoną w przywołanych już wynikach kontroli „</w:t>
      </w:r>
      <w:r w:rsidRPr="001938CC">
        <w:rPr>
          <w:rFonts w:ascii="Times New Roman" w:eastAsiaTheme="minorHAnsi" w:hAnsi="Times New Roman"/>
          <w:i/>
          <w:spacing w:val="-2"/>
        </w:rPr>
        <w:t>Audyt wewnętrzny w jednostkach samorządu terytorialnego”</w:t>
      </w:r>
      <w:r w:rsidRPr="001938CC">
        <w:rPr>
          <w:rFonts w:ascii="Times New Roman" w:eastAsiaTheme="minorHAnsi" w:hAnsi="Times New Roman"/>
          <w:spacing w:val="-2"/>
        </w:rPr>
        <w:t xml:space="preserve">, zgodnie z którą na nieefektywne funkcjonowanie audytu wewnętrznego w tych jednostkach wpływ miała między innymi </w:t>
      </w:r>
      <w:r w:rsidRPr="001938CC">
        <w:rPr>
          <w:rFonts w:ascii="Times New Roman" w:eastAsiaTheme="minorHAnsi" w:hAnsi="Times New Roman"/>
          <w:i/>
          <w:spacing w:val="-2"/>
        </w:rPr>
        <w:t>„wadliwa organizacja audytu wewnętrznego, w tym brak wystarczających mechanizmów gwarantujących jego niezależność w tych jednostkach, w których komórka audytu nie została wyodrębniona organizacyjnie”.</w:t>
      </w:r>
    </w:p>
    <w:p w14:paraId="65FDD638" w14:textId="3807C64F" w:rsidR="001938CC" w:rsidRPr="00F14414" w:rsidRDefault="001938CC">
      <w:pPr>
        <w:spacing w:before="120" w:after="120" w:line="276" w:lineRule="auto"/>
        <w:jc w:val="both"/>
        <w:rPr>
          <w:rFonts w:ascii="Times New Roman" w:eastAsiaTheme="minorHAnsi" w:hAnsi="Times New Roman"/>
          <w:spacing w:val="-2"/>
        </w:rPr>
      </w:pPr>
      <w:r w:rsidRPr="001938CC">
        <w:rPr>
          <w:rFonts w:ascii="Times New Roman" w:eastAsiaTheme="minorHAnsi" w:hAnsi="Times New Roman"/>
          <w:spacing w:val="-2"/>
        </w:rPr>
        <w:t xml:space="preserve">Aby zapewnić spójność przepisów ustawy o finansach publicznych, w ocenie projektodawcy wskazana jest nowelizacja ustawy </w:t>
      </w:r>
      <w:r w:rsidRPr="001938CC">
        <w:rPr>
          <w:rFonts w:ascii="Times New Roman" w:eastAsiaTheme="minorHAnsi" w:hAnsi="Times New Roman"/>
          <w:i/>
          <w:spacing w:val="-2"/>
        </w:rPr>
        <w:t>o Radzie Ministrów</w:t>
      </w:r>
      <w:r w:rsidRPr="001938CC">
        <w:rPr>
          <w:rFonts w:ascii="Times New Roman" w:eastAsiaTheme="minorHAnsi" w:hAnsi="Times New Roman"/>
          <w:iCs/>
          <w:vertAlign w:val="superscript"/>
        </w:rPr>
        <w:footnoteReference w:id="11"/>
      </w:r>
      <w:r w:rsidRPr="001938CC">
        <w:rPr>
          <w:rFonts w:ascii="Times New Roman" w:eastAsiaTheme="minorHAnsi" w:hAnsi="Times New Roman"/>
          <w:spacing w:val="-2"/>
        </w:rPr>
        <w:t xml:space="preserve"> w zakresie </w:t>
      </w:r>
      <w:r w:rsidRPr="00F14414">
        <w:rPr>
          <w:rFonts w:ascii="Times New Roman" w:eastAsiaTheme="minorHAnsi" w:hAnsi="Times New Roman"/>
          <w:spacing w:val="-2"/>
        </w:rPr>
        <w:t>art. 39 ust. 3a i 4 (art. </w:t>
      </w:r>
      <w:r w:rsidR="00077A3D" w:rsidRPr="00F14414">
        <w:rPr>
          <w:rFonts w:ascii="Times New Roman" w:eastAsiaTheme="minorHAnsi" w:hAnsi="Times New Roman"/>
          <w:spacing w:val="-2"/>
        </w:rPr>
        <w:t>1</w:t>
      </w:r>
      <w:r w:rsidRPr="00F14414">
        <w:rPr>
          <w:rFonts w:ascii="Times New Roman" w:eastAsiaTheme="minorHAnsi" w:hAnsi="Times New Roman"/>
          <w:spacing w:val="-2"/>
        </w:rPr>
        <w:t>2 ustawy zmieniającej)</w:t>
      </w:r>
      <w:r w:rsidRPr="001938CC">
        <w:rPr>
          <w:rFonts w:ascii="Times New Roman" w:eastAsiaTheme="minorHAnsi" w:hAnsi="Times New Roman"/>
          <w:spacing w:val="-2"/>
        </w:rPr>
        <w:t xml:space="preserve">. </w:t>
      </w:r>
      <w:r w:rsidRPr="00F14414">
        <w:rPr>
          <w:rFonts w:ascii="Times New Roman" w:eastAsiaTheme="minorHAnsi" w:hAnsi="Times New Roman"/>
          <w:spacing w:val="-2"/>
        </w:rPr>
        <w:t xml:space="preserve">Zmiana art. 39 ust. 3a ustawy o Radzie Ministrów będzie polegała na wyłączeniu komórek audytu wewnętrznego z listy komórek organizacyjnych jednostki, które mogą być łączone z innymi. Natomiast zmiana w ust. 4 jest konsekwencją ww. </w:t>
      </w:r>
      <w:r w:rsidR="008A06C9" w:rsidRPr="00F14414">
        <w:rPr>
          <w:rFonts w:ascii="Times New Roman" w:eastAsiaTheme="minorHAnsi" w:hAnsi="Times New Roman"/>
          <w:spacing w:val="-2"/>
        </w:rPr>
        <w:t>przepisu</w:t>
      </w:r>
      <w:r w:rsidRPr="00F14414">
        <w:rPr>
          <w:rFonts w:ascii="Times New Roman" w:eastAsiaTheme="minorHAnsi" w:hAnsi="Times New Roman"/>
          <w:spacing w:val="-2"/>
        </w:rPr>
        <w:t xml:space="preserve"> i ma na celu wskazanie tych komórek, nad którymi bezpośredni nadzór ma dyrektor generalny. Organizacyjne wydzielenie komórek audytu wewnętrznego na gruncie przepisów ustawy i innych ustaw ma również przeciwdziałać sytuacjom, w których komórki audytu wewnętrznego są łączone z innymi komórkami organizacyjnymi realizującymi zadania operacyjne, które mogą być jednocześnie przedmiotem oceny przez audyt wewnętrzny.</w:t>
      </w:r>
    </w:p>
    <w:p w14:paraId="56101A4E" w14:textId="77777777" w:rsidR="001938CC" w:rsidRPr="001938CC"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Natomiast w ust. 2 dodano pkt 3 dotyczący przetwarzania danych osobowych w zakresie niezbędnym do realizacji celów audytu wewnętrznego. O ile w jednostce własnej wystarczające jest upoważnienie wydane przez administratora danych osobowych (kierownika jednostki), to zaproponowany przez projektodawcę przepis ma znaczenie w przypadku wykonywania czynności w jednostce podległej lub nadzorowanej, a także jednostkach organizacyjnych jednostek samorządu terytorialnego. Wskazanie w ustawie uprawnienia do przetwarzania danych osobowych jest również odpowiedzią na oczekiwania wyrażone przez prowadzących audyt wewnętrzny ze względu na zakres podmiotowy i przedmiotowy przeprowadzanych zadań audytowych oraz realizację celów audytu wewnętrznego. Stanowi również dostosowanie przepisów ustawy do rozwiązań przyjętych w zakresie ochrony danych osobowych, w tym przyjętych w ramach innych funkcji i czynności realizowanych w jednostkach</w:t>
      </w:r>
      <w:r w:rsidRPr="001938CC">
        <w:rPr>
          <w:rFonts w:ascii="Times New Roman" w:eastAsiaTheme="minorHAnsi" w:hAnsi="Times New Roman"/>
          <w:spacing w:val="-2"/>
        </w:rPr>
        <w:t xml:space="preserve"> sektora finansów publicznych. </w:t>
      </w:r>
    </w:p>
    <w:p w14:paraId="42CDF4C2" w14:textId="7463B929" w:rsidR="001938CC" w:rsidRPr="00F14414" w:rsidRDefault="001938CC">
      <w:pPr>
        <w:spacing w:before="120" w:after="120" w:line="276" w:lineRule="auto"/>
        <w:jc w:val="both"/>
        <w:rPr>
          <w:rFonts w:ascii="Times New Roman" w:eastAsiaTheme="minorHAnsi" w:hAnsi="Times New Roman"/>
          <w:spacing w:val="-2"/>
        </w:rPr>
      </w:pPr>
      <w:r w:rsidRPr="001938CC">
        <w:rPr>
          <w:rFonts w:ascii="Times New Roman" w:eastAsiaTheme="minorHAnsi" w:hAnsi="Times New Roman"/>
          <w:spacing w:val="-2"/>
        </w:rPr>
        <w:t>Z kolei konsekwencją wprowadzonych unormowań w odniesieniu do osób pełniących służbę w jednostkach sektora finansów publicznych jest konieczność doprecyzowania, że podmiotem obowiązków związanych z udzielaniem informacji i wyjaśnień, sporządzaniem i potwierdzaniem kopii, odpisów, wyciągów</w:t>
      </w:r>
      <w:r w:rsidR="00B3156F">
        <w:rPr>
          <w:rFonts w:ascii="Times New Roman" w:eastAsiaTheme="minorHAnsi" w:hAnsi="Times New Roman"/>
          <w:spacing w:val="-2"/>
        </w:rPr>
        <w:t>,</w:t>
      </w:r>
      <w:r w:rsidRPr="001938CC">
        <w:rPr>
          <w:rFonts w:ascii="Times New Roman" w:eastAsiaTheme="minorHAnsi" w:hAnsi="Times New Roman"/>
          <w:spacing w:val="-2"/>
        </w:rPr>
        <w:t xml:space="preserve"> zestawień</w:t>
      </w:r>
      <w:r w:rsidR="00B3156F">
        <w:rPr>
          <w:rFonts w:ascii="Times New Roman" w:eastAsiaTheme="minorHAnsi" w:hAnsi="Times New Roman"/>
          <w:spacing w:val="-2"/>
        </w:rPr>
        <w:t xml:space="preserve"> lub wydruków</w:t>
      </w:r>
      <w:r w:rsidRPr="001938CC">
        <w:rPr>
          <w:rFonts w:ascii="Times New Roman" w:eastAsiaTheme="minorHAnsi" w:hAnsi="Times New Roman"/>
          <w:spacing w:val="-2"/>
        </w:rPr>
        <w:t xml:space="preserve"> są także osoby wykonujące obowiązki służbowe na podstawie pragmatyk niepracowniczych. Nowelizacja rozciąga również obowiązki </w:t>
      </w:r>
      <w:r w:rsidRPr="00F14414">
        <w:rPr>
          <w:rFonts w:ascii="Times New Roman" w:eastAsiaTheme="minorHAnsi" w:hAnsi="Times New Roman"/>
          <w:spacing w:val="-2"/>
        </w:rPr>
        <w:lastRenderedPageBreak/>
        <w:t xml:space="preserve">w tym zakresie, także na osoby wykonujące zadania w jednostkach w oparciu o umowy cywilnoprawne (ust. 3). </w:t>
      </w:r>
    </w:p>
    <w:p w14:paraId="723388D2" w14:textId="7C2509C8"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W ust. 4 podkreślono natomiast, że przepisy ust. 2, czyli m.in. dotyczące dostępu audytora wewnętrznego do pomieszczeń i wglądu do dokumentacji, sporządzania kopii i odpisów oraz przetwarzania danych osobowych, odnoszą się także do usługodawcy, o którym mowa w art. 279 ust. 1 pkt 1 i 2 oraz osób zatrudnionych do prowadzenia audytu wewnętrznego w jednostce przez usługodawcę, o którym mowa w art. 279 ust. 1</w:t>
      </w:r>
      <w:r w:rsidR="00CF175A" w:rsidRPr="00F14414">
        <w:rPr>
          <w:rFonts w:ascii="Times New Roman" w:eastAsiaTheme="minorHAnsi" w:hAnsi="Times New Roman"/>
          <w:spacing w:val="-2"/>
        </w:rPr>
        <w:t xml:space="preserve"> pkt 3.</w:t>
      </w:r>
    </w:p>
    <w:p w14:paraId="0FE91706" w14:textId="77777777" w:rsidR="00CF175A" w:rsidRPr="00F14414" w:rsidRDefault="00CF175A">
      <w:pPr>
        <w:spacing w:before="120" w:after="120" w:line="276" w:lineRule="auto"/>
        <w:jc w:val="both"/>
        <w:rPr>
          <w:rFonts w:ascii="Times New Roman" w:eastAsiaTheme="minorHAnsi" w:hAnsi="Times New Roman"/>
          <w:spacing w:val="-2"/>
        </w:rPr>
      </w:pPr>
    </w:p>
    <w:p w14:paraId="3FCA4C8E" w14:textId="4B091C77"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w:t>
      </w:r>
      <w:r w:rsidR="00503C19">
        <w:rPr>
          <w:rFonts w:ascii="Times New Roman" w:eastAsiaTheme="minorHAnsi" w:hAnsi="Times New Roman"/>
          <w:b/>
          <w:i/>
        </w:rPr>
        <w:t>a</w:t>
      </w:r>
      <w:r w:rsidRPr="001938CC">
        <w:rPr>
          <w:rFonts w:ascii="Times New Roman" w:eastAsiaTheme="minorHAnsi" w:hAnsi="Times New Roman"/>
          <w:b/>
          <w:i/>
        </w:rPr>
        <w:t xml:space="preserve"> w art. 283</w:t>
      </w:r>
      <w:r w:rsidR="00503C19">
        <w:rPr>
          <w:rFonts w:ascii="Times New Roman" w:eastAsiaTheme="minorHAnsi" w:hAnsi="Times New Roman"/>
          <w:b/>
          <w:i/>
        </w:rPr>
        <w:t xml:space="preserve"> ust. 3 i dodanie ust. 3a, zmiana ust.</w:t>
      </w:r>
      <w:r w:rsidR="00F14414">
        <w:rPr>
          <w:rFonts w:ascii="Times New Roman" w:eastAsiaTheme="minorHAnsi" w:hAnsi="Times New Roman"/>
          <w:b/>
          <w:i/>
        </w:rPr>
        <w:t xml:space="preserve"> 5 i dodanie ust. 6–</w:t>
      </w:r>
      <w:r w:rsidR="00503C19">
        <w:rPr>
          <w:rFonts w:ascii="Times New Roman" w:eastAsiaTheme="minorHAnsi" w:hAnsi="Times New Roman"/>
          <w:b/>
          <w:i/>
        </w:rPr>
        <w:t>8</w:t>
      </w:r>
    </w:p>
    <w:p w14:paraId="4EE7C0A5" w14:textId="77777777" w:rsidR="001938CC" w:rsidRPr="00F14414" w:rsidRDefault="001938CC">
      <w:pPr>
        <w:spacing w:before="120" w:after="120" w:line="276" w:lineRule="auto"/>
        <w:jc w:val="both"/>
        <w:rPr>
          <w:rFonts w:ascii="Times New Roman" w:eastAsia="Times New Roman" w:hAnsi="Times New Roman"/>
          <w:bCs/>
          <w:lang w:eastAsia="pl-PL"/>
        </w:rPr>
      </w:pPr>
      <w:r w:rsidRPr="00F14414">
        <w:rPr>
          <w:rFonts w:ascii="Times New Roman" w:eastAsia="Times New Roman" w:hAnsi="Times New Roman"/>
          <w:bCs/>
          <w:lang w:eastAsia="pl-PL"/>
        </w:rPr>
        <w:t>W ust. 3 i 3a doprecyzowano kwestie związane ze sporządzeniem planu audytu, w tym zobowiązanie kierownika jednostki do podpisania planu audytu wraz z kierownikiem komórki audytu wewnętrznego. Do tej pory regulacja ta była zawarta w przepisach wykonawczych do ustawy. W ust. 6 wprowadzono obowiązek sporządzenia sprawozdania z wykonania planu audytu za okres, w którym był prowadzony audyt, jeżeli jego zakończenie nastąpiło w trakcie roku. Stanowi to uzupełnienie przepisu ust. 5, zgodnie z którym sprawozdanie jest sporządzane do końca stycznia za rok poprzedni. Pozwoli to uniknąć sytuacji, w których po wcześniejszym zakończeniu prowadzenia audytu w jednostce nie był sporządzany dokument sprawozdawczy. Natomiast w ust. 5 doprecyzowano, że kierownik komórki audytu wewnętrznego przekazuje podpisane sprawozdanie z prowadzenia audytu wewnętrznego w roku poprzednim kierownikowi jednostki. Tryb ten wynika z faktu, że ww. sprawozdanie zawiera informację o zadaniach zrealizowanych, w tym treść zaleceń i rekomendacji, które były uzgadniane z komórkami audytowanymi na etapie sprawozdań z realizacji poszczególnych zadań audytowych i czynności doradczych. Przepisy powyższe odnoszą się także do usługodawcy, o którym w art. 279 ust. 1.</w:t>
      </w:r>
    </w:p>
    <w:p w14:paraId="2BD66AB6" w14:textId="4A919C10" w:rsidR="001938CC" w:rsidRDefault="001938CC">
      <w:pPr>
        <w:spacing w:before="120" w:after="120" w:line="276" w:lineRule="auto"/>
        <w:jc w:val="both"/>
        <w:rPr>
          <w:rFonts w:ascii="Times New Roman" w:eastAsia="Times New Roman" w:hAnsi="Times New Roman"/>
          <w:bCs/>
          <w:lang w:eastAsia="pl-PL"/>
        </w:rPr>
      </w:pPr>
      <w:r w:rsidRPr="00F14414">
        <w:rPr>
          <w:rFonts w:ascii="Times New Roman" w:eastAsia="Times New Roman" w:hAnsi="Times New Roman"/>
          <w:bCs/>
          <w:lang w:eastAsia="pl-PL"/>
        </w:rPr>
        <w:t xml:space="preserve">W ust. 8 nałożono jednocześnie obowiązek </w:t>
      </w:r>
      <w:r w:rsidR="00B3156F" w:rsidRPr="00F14414">
        <w:rPr>
          <w:rFonts w:ascii="Times New Roman" w:eastAsia="Times New Roman" w:hAnsi="Times New Roman"/>
          <w:bCs/>
          <w:lang w:eastAsia="pl-PL"/>
        </w:rPr>
        <w:t xml:space="preserve"> udostępniania</w:t>
      </w:r>
      <w:r w:rsidRPr="00F14414">
        <w:rPr>
          <w:rFonts w:ascii="Times New Roman" w:eastAsia="Times New Roman" w:hAnsi="Times New Roman"/>
          <w:bCs/>
          <w:lang w:eastAsia="pl-PL"/>
        </w:rPr>
        <w:t xml:space="preserve"> na stroni</w:t>
      </w:r>
      <w:r w:rsidR="005C1559" w:rsidRPr="00F14414">
        <w:rPr>
          <w:rFonts w:ascii="Times New Roman" w:eastAsia="Times New Roman" w:hAnsi="Times New Roman"/>
          <w:bCs/>
          <w:lang w:eastAsia="pl-PL"/>
        </w:rPr>
        <w:t>e podmiotowej jednostki w </w:t>
      </w:r>
      <w:r w:rsidRPr="00F14414">
        <w:rPr>
          <w:rFonts w:ascii="Times New Roman" w:eastAsia="Times New Roman" w:hAnsi="Times New Roman"/>
          <w:bCs/>
          <w:lang w:eastAsia="pl-PL"/>
        </w:rPr>
        <w:t>Biuletynie Informacji Publicznej zarówno planu audytu, jak i sprawozdania z prowadzenia audytu w te</w:t>
      </w:r>
      <w:r w:rsidR="00CF175A" w:rsidRPr="00F14414">
        <w:rPr>
          <w:rFonts w:ascii="Times New Roman" w:eastAsia="Times New Roman" w:hAnsi="Times New Roman"/>
          <w:bCs/>
          <w:lang w:eastAsia="pl-PL"/>
        </w:rPr>
        <w:t>rminie 7 dni od ich podpisania</w:t>
      </w:r>
      <w:r w:rsidR="00CF175A">
        <w:rPr>
          <w:rFonts w:ascii="Times New Roman" w:eastAsia="Times New Roman" w:hAnsi="Times New Roman"/>
          <w:bCs/>
          <w:lang w:eastAsia="pl-PL"/>
        </w:rPr>
        <w:t>.</w:t>
      </w:r>
    </w:p>
    <w:p w14:paraId="626151F2" w14:textId="77777777" w:rsidR="00CF175A" w:rsidRPr="001938CC" w:rsidRDefault="00CF175A">
      <w:pPr>
        <w:spacing w:before="120" w:after="120" w:line="276" w:lineRule="auto"/>
        <w:jc w:val="both"/>
        <w:rPr>
          <w:rFonts w:ascii="Times New Roman" w:eastAsiaTheme="minorHAnsi" w:hAnsi="Times New Roman"/>
        </w:rPr>
      </w:pPr>
    </w:p>
    <w:p w14:paraId="5BC889C1" w14:textId="4E019F86"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dodanie nowego art. 283a</w:t>
      </w:r>
    </w:p>
    <w:p w14:paraId="73659FF9" w14:textId="119D7FBC" w:rsidR="00D71244" w:rsidRDefault="001938CC">
      <w:pPr>
        <w:spacing w:before="120" w:after="120" w:line="276" w:lineRule="auto"/>
        <w:jc w:val="both"/>
        <w:rPr>
          <w:rFonts w:ascii="Times New Roman" w:eastAsia="Times New Roman" w:hAnsi="Times New Roman"/>
          <w:bCs/>
          <w:lang w:eastAsia="pl-PL"/>
        </w:rPr>
      </w:pPr>
      <w:r w:rsidRPr="001938CC">
        <w:rPr>
          <w:rFonts w:ascii="Times New Roman" w:eastAsia="Times New Roman" w:hAnsi="Times New Roman"/>
          <w:bCs/>
          <w:lang w:eastAsia="pl-PL"/>
        </w:rPr>
        <w:t xml:space="preserve">Postulowana zmiana </w:t>
      </w:r>
      <w:r w:rsidR="00D82CA9">
        <w:rPr>
          <w:rFonts w:ascii="Times New Roman" w:eastAsia="Times New Roman" w:hAnsi="Times New Roman"/>
          <w:bCs/>
          <w:lang w:eastAsia="pl-PL"/>
        </w:rPr>
        <w:t>jest związana z wyrokiem</w:t>
      </w:r>
      <w:r w:rsidRPr="001938CC">
        <w:rPr>
          <w:rFonts w:ascii="Times New Roman" w:eastAsia="Times New Roman" w:hAnsi="Times New Roman"/>
          <w:bCs/>
          <w:lang w:eastAsia="pl-PL"/>
        </w:rPr>
        <w:t xml:space="preserve"> </w:t>
      </w:r>
      <w:r w:rsidR="00D82CA9" w:rsidRPr="001938CC">
        <w:rPr>
          <w:rFonts w:ascii="Times New Roman" w:eastAsia="Times New Roman" w:hAnsi="Times New Roman"/>
          <w:bCs/>
          <w:lang w:eastAsia="pl-PL"/>
        </w:rPr>
        <w:t xml:space="preserve">Trybunału Konstytucyjnego z </w:t>
      </w:r>
      <w:r w:rsidR="00D82CA9">
        <w:rPr>
          <w:rFonts w:ascii="Times New Roman" w:eastAsia="Times New Roman" w:hAnsi="Times New Roman"/>
          <w:bCs/>
          <w:lang w:eastAsia="pl-PL"/>
        </w:rPr>
        <w:t>9 kwietnia 2015 </w:t>
      </w:r>
      <w:r w:rsidR="00D82CA9" w:rsidRPr="001938CC">
        <w:rPr>
          <w:rFonts w:ascii="Times New Roman" w:eastAsia="Times New Roman" w:hAnsi="Times New Roman"/>
          <w:bCs/>
          <w:lang w:eastAsia="pl-PL"/>
        </w:rPr>
        <w:t xml:space="preserve">r. </w:t>
      </w:r>
      <w:r w:rsidRPr="001938CC">
        <w:rPr>
          <w:rFonts w:ascii="Times New Roman" w:eastAsia="Times New Roman" w:hAnsi="Times New Roman"/>
          <w:bCs/>
          <w:lang w:eastAsia="pl-PL"/>
        </w:rPr>
        <w:t>(</w:t>
      </w:r>
      <w:r w:rsidR="00D82CA9">
        <w:rPr>
          <w:rFonts w:ascii="Times New Roman" w:eastAsia="Times New Roman" w:hAnsi="Times New Roman"/>
          <w:bCs/>
          <w:lang w:eastAsia="pl-PL"/>
        </w:rPr>
        <w:t>sygn. akt K 14/13).</w:t>
      </w:r>
    </w:p>
    <w:p w14:paraId="330E379E" w14:textId="63FA7782" w:rsidR="00D71244" w:rsidRDefault="00D71244">
      <w:pPr>
        <w:spacing w:before="120" w:after="120" w:line="276" w:lineRule="auto"/>
        <w:jc w:val="both"/>
        <w:rPr>
          <w:rFonts w:ascii="Times New Roman" w:eastAsia="Times New Roman" w:hAnsi="Times New Roman"/>
          <w:bCs/>
          <w:lang w:eastAsia="pl-PL"/>
        </w:rPr>
      </w:pPr>
      <w:r w:rsidRPr="00D71244">
        <w:rPr>
          <w:rFonts w:ascii="Times New Roman" w:eastAsia="Times New Roman" w:hAnsi="Times New Roman"/>
          <w:bCs/>
          <w:lang w:eastAsia="pl-PL"/>
        </w:rPr>
        <w:t>W ust. 1 wskazano oraz zdefiniowano pojęcia i działania podejmowane przez audytora wewnętrznego (usługodawcę) w ramach zadań zapewni</w:t>
      </w:r>
      <w:r w:rsidR="005C1559">
        <w:rPr>
          <w:rFonts w:ascii="Times New Roman" w:eastAsia="Times New Roman" w:hAnsi="Times New Roman"/>
          <w:bCs/>
          <w:lang w:eastAsia="pl-PL"/>
        </w:rPr>
        <w:t>ających, czynności doradczych i </w:t>
      </w:r>
      <w:r w:rsidRPr="00D71244">
        <w:rPr>
          <w:rFonts w:ascii="Times New Roman" w:eastAsia="Times New Roman" w:hAnsi="Times New Roman"/>
          <w:bCs/>
          <w:lang w:eastAsia="pl-PL"/>
        </w:rPr>
        <w:t>czynności sprawdzających.</w:t>
      </w:r>
    </w:p>
    <w:p w14:paraId="01E0FC8F" w14:textId="396DCA50" w:rsidR="001938CC" w:rsidRPr="001938CC" w:rsidRDefault="00D71244">
      <w:pPr>
        <w:spacing w:before="120" w:after="120" w:line="276" w:lineRule="auto"/>
        <w:jc w:val="both"/>
        <w:rPr>
          <w:rFonts w:ascii="Times New Roman" w:eastAsia="Times New Roman" w:hAnsi="Times New Roman"/>
          <w:bCs/>
          <w:lang w:eastAsia="pl-PL"/>
        </w:rPr>
      </w:pPr>
      <w:r w:rsidRPr="00D71244">
        <w:rPr>
          <w:rFonts w:ascii="Times New Roman" w:eastAsia="Times New Roman" w:hAnsi="Times New Roman"/>
          <w:bCs/>
          <w:lang w:eastAsia="pl-PL"/>
        </w:rPr>
        <w:t xml:space="preserve">Z ust. 2 wynika natomiast obowiązek dokumentowania zadań zapewniających, czynności doradczych oraz innych zdarzeń mających znaczenie dla prowadzenia i wyników audytu wewnętrznego. </w:t>
      </w:r>
      <w:r w:rsidR="001938CC" w:rsidRPr="001938CC">
        <w:rPr>
          <w:rFonts w:ascii="Times New Roman" w:eastAsia="Times New Roman" w:hAnsi="Times New Roman"/>
          <w:bCs/>
          <w:lang w:eastAsia="pl-PL"/>
        </w:rPr>
        <w:t xml:space="preserve">Doprecyzowano również moment realizacji czynności sprawdzających, w odniesieniu do realizacji zaleceń lub propozycji usprawniających funkcjonowanie jednostki. Dotychczas regulacje w tym zakresie znajdowały się w akcie wykonawczym do ustawy. W ramach nowelizacji dookreślono również obowiązek monitorowania propozycji </w:t>
      </w:r>
      <w:r w:rsidR="001938CC" w:rsidRPr="001938CC">
        <w:rPr>
          <w:rFonts w:ascii="Times New Roman" w:eastAsia="Times New Roman" w:hAnsi="Times New Roman"/>
          <w:bCs/>
          <w:lang w:eastAsia="pl-PL"/>
        </w:rPr>
        <w:lastRenderedPageBreak/>
        <w:t xml:space="preserve">usprawniających funkcjonowanie jednostki, w przypadku gdy zostały one sformułowane w ramach przeprowadzonych czynności doradczych. Stanowi to odzwierciedlenie wymogów, określonych w standardach w zakresie monitorowania tego typu czynności. W odróżnieniu od poprzednio obowiązujących rozwiązań wprowadzono </w:t>
      </w:r>
      <w:r w:rsidR="005C1559">
        <w:rPr>
          <w:rFonts w:ascii="Times New Roman" w:eastAsia="Times New Roman" w:hAnsi="Times New Roman"/>
          <w:bCs/>
          <w:lang w:eastAsia="pl-PL"/>
        </w:rPr>
        <w:t>też</w:t>
      </w:r>
      <w:r w:rsidR="001938CC" w:rsidRPr="001938CC">
        <w:rPr>
          <w:rFonts w:ascii="Times New Roman" w:eastAsia="Times New Roman" w:hAnsi="Times New Roman"/>
          <w:bCs/>
          <w:lang w:eastAsia="pl-PL"/>
        </w:rPr>
        <w:t xml:space="preserve"> obligatoryjny wymóg sporządzania sprawozdania z przeprowadzonych przez audytora wewnętrznego (usługodawcę) czynności doradczych. </w:t>
      </w:r>
    </w:p>
    <w:p w14:paraId="2F459BE5" w14:textId="36070503"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 xml:space="preserve">Projektowany ust. </w:t>
      </w:r>
      <w:r w:rsidR="00D71244" w:rsidRPr="00F14414">
        <w:rPr>
          <w:rFonts w:ascii="Times New Roman" w:eastAsiaTheme="minorHAnsi" w:hAnsi="Times New Roman"/>
        </w:rPr>
        <w:t>3</w:t>
      </w:r>
      <w:r w:rsidRPr="00F14414">
        <w:rPr>
          <w:rFonts w:ascii="Times New Roman" w:eastAsiaTheme="minorHAnsi" w:hAnsi="Times New Roman"/>
        </w:rPr>
        <w:t xml:space="preserve"> ustanawia dwie kategorie dokumentów wytwarzanych przez osoby prowadzące audyt wewnętrzny: pierwsza to dokumenty określone w ust. </w:t>
      </w:r>
      <w:r w:rsidR="00D71244" w:rsidRPr="00F14414">
        <w:rPr>
          <w:rFonts w:ascii="Times New Roman" w:eastAsiaTheme="minorHAnsi" w:hAnsi="Times New Roman"/>
        </w:rPr>
        <w:t>3</w:t>
      </w:r>
      <w:r w:rsidR="00F14414">
        <w:rPr>
          <w:rFonts w:ascii="Times New Roman" w:eastAsiaTheme="minorHAnsi" w:hAnsi="Times New Roman"/>
        </w:rPr>
        <w:t xml:space="preserve"> pkt 1–</w:t>
      </w:r>
      <w:r w:rsidRPr="00F14414">
        <w:rPr>
          <w:rFonts w:ascii="Times New Roman" w:eastAsiaTheme="minorHAnsi" w:hAnsi="Times New Roman"/>
        </w:rPr>
        <w:t xml:space="preserve">3, tj. dokumenty które powstają podczas prowadzenia audytu wewnętrznego i zawierają informację publiczną (ust. </w:t>
      </w:r>
      <w:r w:rsidR="00D71244" w:rsidRPr="00F14414">
        <w:rPr>
          <w:rFonts w:ascii="Times New Roman" w:eastAsiaTheme="minorHAnsi" w:hAnsi="Times New Roman"/>
        </w:rPr>
        <w:t>4</w:t>
      </w:r>
      <w:r w:rsidRPr="00F14414">
        <w:rPr>
          <w:rFonts w:ascii="Times New Roman" w:eastAsiaTheme="minorHAnsi" w:hAnsi="Times New Roman"/>
        </w:rPr>
        <w:t xml:space="preserve">), a druga kategoria to dokumenty wewnętrzne (ust. </w:t>
      </w:r>
      <w:r w:rsidR="00D71244" w:rsidRPr="00F14414">
        <w:rPr>
          <w:rFonts w:ascii="Times New Roman" w:eastAsiaTheme="minorHAnsi" w:hAnsi="Times New Roman"/>
        </w:rPr>
        <w:t>3</w:t>
      </w:r>
      <w:r w:rsidRPr="00F14414">
        <w:rPr>
          <w:rFonts w:ascii="Times New Roman" w:eastAsiaTheme="minorHAnsi" w:hAnsi="Times New Roman"/>
        </w:rPr>
        <w:t xml:space="preserve"> pkt 4), które są gromadzone i wytwarzane przez audytora wewnętrznego podczas przygotowania i realizacji czynności, określonych w ust. 1 i </w:t>
      </w:r>
      <w:r w:rsidR="00D71244" w:rsidRPr="00F14414">
        <w:rPr>
          <w:rFonts w:ascii="Times New Roman" w:eastAsiaTheme="minorHAnsi" w:hAnsi="Times New Roman"/>
        </w:rPr>
        <w:t>3</w:t>
      </w:r>
      <w:r w:rsidRPr="00F14414">
        <w:rPr>
          <w:rFonts w:ascii="Times New Roman" w:eastAsiaTheme="minorHAnsi" w:hAnsi="Times New Roman"/>
        </w:rPr>
        <w:t xml:space="preserve"> i art. 277a oraz sporządzania planów audytu i sprawozdań z prowadzenia audytu. Dokumenty te powstają w stadium zbierania informacji oraz przygotowania końcowego stanowiska – wyrażonego w dokumentach określonych m.in. w ust. </w:t>
      </w:r>
      <w:r w:rsidR="00D71244" w:rsidRPr="00F14414">
        <w:rPr>
          <w:rFonts w:ascii="Times New Roman" w:eastAsiaTheme="minorHAnsi" w:hAnsi="Times New Roman"/>
        </w:rPr>
        <w:t>3</w:t>
      </w:r>
      <w:r w:rsidR="00F14414">
        <w:rPr>
          <w:rFonts w:ascii="Times New Roman" w:eastAsiaTheme="minorHAnsi" w:hAnsi="Times New Roman"/>
        </w:rPr>
        <w:t xml:space="preserve"> pkt</w:t>
      </w:r>
      <w:r w:rsidRPr="00F14414">
        <w:rPr>
          <w:rFonts w:ascii="Times New Roman" w:eastAsiaTheme="minorHAnsi" w:hAnsi="Times New Roman"/>
        </w:rPr>
        <w:t xml:space="preserve"> 1</w:t>
      </w:r>
      <w:r w:rsidR="00F14414">
        <w:rPr>
          <w:rFonts w:ascii="Times New Roman" w:eastAsiaTheme="minorHAnsi" w:hAnsi="Times New Roman"/>
        </w:rPr>
        <w:t>–</w:t>
      </w:r>
      <w:r w:rsidRPr="00F14414">
        <w:rPr>
          <w:rFonts w:ascii="Times New Roman" w:eastAsiaTheme="minorHAnsi" w:hAnsi="Times New Roman"/>
        </w:rPr>
        <w:t>3, czy też w planach audytu i sprawozdaniach z prowadzenia audytu i mają charakter roboczy.</w:t>
      </w:r>
    </w:p>
    <w:p w14:paraId="1C7A5E89" w14:textId="06EB85EE"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 xml:space="preserve">Przepisy art. 283a ust. </w:t>
      </w:r>
      <w:r w:rsidR="00D71244" w:rsidRPr="00F14414">
        <w:rPr>
          <w:rFonts w:ascii="Times New Roman" w:eastAsiaTheme="minorHAnsi" w:hAnsi="Times New Roman"/>
        </w:rPr>
        <w:t>5</w:t>
      </w:r>
      <w:r w:rsidRPr="00F14414">
        <w:rPr>
          <w:rFonts w:ascii="Times New Roman" w:eastAsiaTheme="minorHAnsi" w:hAnsi="Times New Roman"/>
        </w:rPr>
        <w:t xml:space="preserve"> i </w:t>
      </w:r>
      <w:r w:rsidR="00D71244" w:rsidRPr="00F14414">
        <w:rPr>
          <w:rFonts w:ascii="Times New Roman" w:eastAsiaTheme="minorHAnsi" w:hAnsi="Times New Roman"/>
        </w:rPr>
        <w:t>6</w:t>
      </w:r>
      <w:r w:rsidRPr="00F14414">
        <w:rPr>
          <w:rFonts w:ascii="Times New Roman" w:eastAsiaTheme="minorHAnsi" w:hAnsi="Times New Roman"/>
        </w:rPr>
        <w:t xml:space="preserve"> wprowadzają natomiast czasowe ograniczenia w dostępie do informacji publicznej zawartej w dokumentach określonych w ust. </w:t>
      </w:r>
      <w:r w:rsidR="00D71244" w:rsidRPr="00F14414">
        <w:rPr>
          <w:rFonts w:ascii="Times New Roman" w:eastAsiaTheme="minorHAnsi" w:hAnsi="Times New Roman"/>
        </w:rPr>
        <w:t>3</w:t>
      </w:r>
      <w:r w:rsidRPr="00F14414">
        <w:rPr>
          <w:rFonts w:ascii="Times New Roman" w:eastAsiaTheme="minorHAnsi" w:hAnsi="Times New Roman"/>
        </w:rPr>
        <w:t xml:space="preserve"> pkt 1</w:t>
      </w:r>
      <w:r w:rsidR="00F14414">
        <w:rPr>
          <w:rFonts w:ascii="Times New Roman" w:eastAsiaTheme="minorHAnsi" w:hAnsi="Times New Roman"/>
        </w:rPr>
        <w:t>–</w:t>
      </w:r>
      <w:r w:rsidRPr="00F14414">
        <w:rPr>
          <w:rFonts w:ascii="Times New Roman" w:eastAsiaTheme="minorHAnsi" w:hAnsi="Times New Roman"/>
        </w:rPr>
        <w:t xml:space="preserve">3. Jednocześnie intencją projektodawcy jest podkreślenie faktu, że podmiotem udostępniającym informację publiczną na wniosek ma być kierownik jednostki, do której wpływa taki wniosek, a nie audytor wewnętrzny jako pracownik tej jednostki, osoba pełniąca służbę w jednostce lub usługodawca. </w:t>
      </w:r>
    </w:p>
    <w:p w14:paraId="1D897D0C" w14:textId="77777777" w:rsidR="001938CC" w:rsidRPr="001938CC"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Dla zachowania transparentności działań administracji publicznej, oraz by zagwarantować konstytucyjnie unormowane prawo do zasięgania informacji o działalności administracji publicznej, proponowane przez projektodawcę ograniczenie dostępu ma charakter czasowy i jest proporcjonalne do zakładanych rezultatów. Ingerencja w sferę konstytucyjnych wolności i praw jednostki związanych z dostępem do informacji publicznej jest niezbędna dla zapewnienia ochrony interesu publicznego przez minimalizowanie</w:t>
      </w:r>
      <w:r w:rsidRPr="001938CC">
        <w:rPr>
          <w:rFonts w:ascii="Times New Roman" w:eastAsiaTheme="minorHAnsi" w:hAnsi="Times New Roman"/>
        </w:rPr>
        <w:t xml:space="preserve"> ryzyka negatywnego wpływu ujawnienia informacji w trakcie realizacji zadań zapewniających i czynności doradczych, na osiągnięcie ich celów oraz wynika z istoty zadań audytu wewnętrznego. Istnieje bowiem w szczególności legitymowany interes państwa w stworzeniu takich ram prawnych działalności audytu wewnętrznego, tak aby zapewnić skuteczność jego działania. Wprowadzenie czasowego ograniczenia dostępu do sprawozdań z zadań zapewniających i czynności doradczych, ma również na celu ochronę efektywności i rzetelności audytu wewnętrznego. Audyt ma bowiem prowadzić do bieżącego, wnikliwego i niezależnego zdiagnozowania status quo w zakresie kontroli zarządczej danej jednostki, na potrzeby usprawniania działalności tej jednostki. Przyjęto zatem, że dostęp do sprawozdania z zadania zapewniającego, sprawozdania z czynności doradczych i informacji z czynności sprawdzających zostanie czasowo odroczony. Dostęp ten będzie możliwy po przeprowadzeniu przez audytora wewnętrznego czynności sprawdzających (obligatoryjnych po wydaniu przez audytora wewnętrznego/usługodawcę zaleceń i przyjętych do realizacji przez kierownika jednostki) i potwierdzeniu przez audytora wewnętrznego wdrożenia i skuteczności zaleceń, propozycji usprawniających funkcjonowanie jednostki lub po przedstawieniu audytorowi </w:t>
      </w:r>
      <w:r w:rsidRPr="001938CC">
        <w:rPr>
          <w:rFonts w:ascii="Times New Roman" w:eastAsiaTheme="minorHAnsi" w:hAnsi="Times New Roman"/>
        </w:rPr>
        <w:lastRenderedPageBreak/>
        <w:t>wewnętrznemu na piśmie przez kierownika jednostki decyzji o odstąpieniu od wdrażania propozycji. </w:t>
      </w:r>
    </w:p>
    <w:p w14:paraId="3E8EEF94" w14:textId="77777777"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Przyjęcie czasowego odroczenia udostępnienia dokumentacji audytu spowodowane jest możliwością zaistnienia sytuacji, w których w wyniku prowadzonych zadań audytowych, audytor wewnętrzny lub usługodawca, identyfikuje lub może zidentyfikować słabości kontroli zarządczej, w tym zidentyfikowane ryzyka, których przedwczesne ujawnienie osobom spoza jednostki sektora finansów publicznych, lub też poza wąskie grono odbiorców wyników audytu wewnętrznego określonych w przepisach prawa, może zagrozić bezpieczeństwu jednostki (w zakresie materialnym czy też finansowym). Należy bowiem mieć na uwadze, że zakres zadań audytu wewnętrznego niejednokrotnie dotyczy problematyki bezpieczeństwa informacji czy działalności systemów informatycznych stanowiących element krytycznej infrastruktury państwa. W związku z tym, istotny jest moment ujawnienia tych słabości i </w:t>
      </w:r>
      <w:proofErr w:type="spellStart"/>
      <w:r w:rsidRPr="001938CC">
        <w:rPr>
          <w:rFonts w:ascii="Times New Roman" w:eastAsiaTheme="minorHAnsi" w:hAnsi="Times New Roman"/>
        </w:rPr>
        <w:t>ryzyk</w:t>
      </w:r>
      <w:proofErr w:type="spellEnd"/>
      <w:r w:rsidRPr="001938CC">
        <w:rPr>
          <w:rFonts w:ascii="Times New Roman" w:eastAsiaTheme="minorHAnsi" w:hAnsi="Times New Roman"/>
        </w:rPr>
        <w:t xml:space="preserve"> oraz informacji o sposobie ich wyeliminowania. Ujawnienie wyników audytu wewnętrznego, przed wdrożeniem działań naprawczych prowadzić może do obniżenia skuteczności realizacji zadań publicznych, jak również ujawnić słabości mechanizmów kontroli zarządczej, które w skrajnych przypadkach mogą być wykorzystane do zakłócenia jej ciągłości działania. Racjonalnym i zasadnym jest natomiast udzielenie obywatelom takiego dostępu po tym jak ryzyka i słabości kontroli zarządczej zostaną wyeliminowane.</w:t>
      </w:r>
    </w:p>
    <w:p w14:paraId="0C89DFC7" w14:textId="291B616E"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Projektowany art. 283a został również uzupełniony o ust. </w:t>
      </w:r>
      <w:r w:rsidR="00D71244" w:rsidRPr="00F14414">
        <w:rPr>
          <w:rFonts w:ascii="Times New Roman" w:eastAsiaTheme="minorHAnsi" w:hAnsi="Times New Roman"/>
        </w:rPr>
        <w:t>7</w:t>
      </w:r>
      <w:r w:rsidRPr="00F14414">
        <w:rPr>
          <w:rFonts w:ascii="Times New Roman" w:eastAsiaTheme="minorHAnsi" w:hAnsi="Times New Roman"/>
        </w:rPr>
        <w:t xml:space="preserve"> i </w:t>
      </w:r>
      <w:r w:rsidR="00D71244" w:rsidRPr="00F14414">
        <w:rPr>
          <w:rFonts w:ascii="Times New Roman" w:eastAsiaTheme="minorHAnsi" w:hAnsi="Times New Roman"/>
        </w:rPr>
        <w:t>8</w:t>
      </w:r>
      <w:r w:rsidRPr="00F14414">
        <w:rPr>
          <w:rFonts w:ascii="Times New Roman" w:eastAsiaTheme="minorHAnsi" w:hAnsi="Times New Roman"/>
        </w:rPr>
        <w:t xml:space="preserve"> regulujące tryb postępowania z wpływającymi wnioskami o udostępnienia informacji publicznej, które dotyczą zadań z zakresu audytu wewnętrznego, w przypadku gdy zostały one złożone przed zakończeniem realizacji czynności sprawdzających i przekazaniem ich wyników kierownikowi jednostki. Organy uprawnione do udostępnienia informacji zobowiązane będą poinformować wnioskodawców, że informacje nie mogą zostać udostępnione z uwagi na niezakończenie czynności sprawdzających. Bieg terminu na udostępnienie informacji publicznej, o którym mowa w art. 13 ust. 1 ustawy z dnia 6 września 2001 r. o dostępie do informacji publicznej</w:t>
      </w:r>
      <w:r w:rsidRPr="00F14414">
        <w:rPr>
          <w:rFonts w:ascii="Times New Roman" w:eastAsiaTheme="minorHAnsi" w:hAnsi="Times New Roman"/>
          <w:iCs/>
          <w:vertAlign w:val="superscript"/>
        </w:rPr>
        <w:footnoteReference w:id="12"/>
      </w:r>
      <w:r w:rsidRPr="00F14414">
        <w:rPr>
          <w:rFonts w:ascii="Times New Roman" w:eastAsiaTheme="minorHAnsi" w:hAnsi="Times New Roman"/>
        </w:rPr>
        <w:t xml:space="preserve"> rozpoczynać</w:t>
      </w:r>
      <w:r w:rsidR="00606BB0" w:rsidRPr="00F14414">
        <w:rPr>
          <w:rFonts w:ascii="Times New Roman" w:eastAsiaTheme="minorHAnsi" w:hAnsi="Times New Roman"/>
        </w:rPr>
        <w:t xml:space="preserve"> się</w:t>
      </w:r>
      <w:r w:rsidRPr="00F14414">
        <w:rPr>
          <w:rFonts w:ascii="Times New Roman" w:eastAsiaTheme="minorHAnsi" w:hAnsi="Times New Roman"/>
        </w:rPr>
        <w:t xml:space="preserve"> będzie odpowiednio od dnia przekazania kier</w:t>
      </w:r>
      <w:r w:rsidR="005C1559" w:rsidRPr="00F14414">
        <w:rPr>
          <w:rFonts w:ascii="Times New Roman" w:eastAsiaTheme="minorHAnsi" w:hAnsi="Times New Roman"/>
        </w:rPr>
        <w:t>ownikowi jednostki informacji z </w:t>
      </w:r>
      <w:r w:rsidRPr="00F14414">
        <w:rPr>
          <w:rFonts w:ascii="Times New Roman" w:eastAsiaTheme="minorHAnsi" w:hAnsi="Times New Roman"/>
        </w:rPr>
        <w:t>czynności sprawdzających</w:t>
      </w:r>
      <w:r w:rsidR="00D71244" w:rsidRPr="00F14414">
        <w:t xml:space="preserve"> </w:t>
      </w:r>
      <w:r w:rsidR="00D71244" w:rsidRPr="00F14414">
        <w:rPr>
          <w:rFonts w:ascii="Times New Roman" w:eastAsiaTheme="minorHAnsi" w:hAnsi="Times New Roman"/>
        </w:rPr>
        <w:t>i potwierdzeniu przez audytora wewnętrzn</w:t>
      </w:r>
      <w:r w:rsidR="005C1559" w:rsidRPr="00F14414">
        <w:rPr>
          <w:rFonts w:ascii="Times New Roman" w:eastAsiaTheme="minorHAnsi" w:hAnsi="Times New Roman"/>
        </w:rPr>
        <w:t>ego wdrożenia i </w:t>
      </w:r>
      <w:r w:rsidR="00D71244" w:rsidRPr="00F14414">
        <w:rPr>
          <w:rFonts w:ascii="Times New Roman" w:eastAsiaTheme="minorHAnsi" w:hAnsi="Times New Roman"/>
        </w:rPr>
        <w:t>skuteczności zaleceń albo wdrożenia propozycji usprawniających funkcjonowanie jednostki</w:t>
      </w:r>
      <w:r w:rsidRPr="00F14414">
        <w:rPr>
          <w:rFonts w:ascii="Times New Roman" w:eastAsiaTheme="minorHAnsi" w:hAnsi="Times New Roman"/>
        </w:rPr>
        <w:t xml:space="preserve"> lub w przypadku odstąpienia od wdrażania zaleceń lub propozycji usprawniających funkcjonowanie jednostki, od dnia przekazania na piśmie audytorowi wewnętrznemu tej informacji przez kierownika jednostki.</w:t>
      </w:r>
    </w:p>
    <w:p w14:paraId="205A950F" w14:textId="07196241"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 xml:space="preserve">Zgodnie z ust. </w:t>
      </w:r>
      <w:r w:rsidR="00D71244" w:rsidRPr="00F14414">
        <w:rPr>
          <w:rFonts w:ascii="Times New Roman" w:eastAsiaTheme="minorHAnsi" w:hAnsi="Times New Roman"/>
        </w:rPr>
        <w:t>9</w:t>
      </w:r>
      <w:r w:rsidRPr="00F14414">
        <w:rPr>
          <w:rFonts w:ascii="Times New Roman" w:eastAsiaTheme="minorHAnsi" w:hAnsi="Times New Roman"/>
        </w:rPr>
        <w:t xml:space="preserve"> przepisy art. 283a odnoszą się także do usługodawcy, o którym mowa w art. 279 ust. 1 pkt 1 i 3. </w:t>
      </w:r>
    </w:p>
    <w:p w14:paraId="4E152A07" w14:textId="77777777" w:rsidR="001938CC" w:rsidRPr="001938CC"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Projektowane regulacje art. 283a – w ocenie projektodawcy, przyczynią się do ujednolicenia praktyk związanych z udostępnianiem informacji publicznej związanej z działalnością audytu wewnętrznego stosowanych w poszczególnych jednostkach sektora finansów publicznych oraz ograniczeniu zakresu władzy dyskrecjonalnej przez organy udostepniające informacje publicznej. Niejednokrotnie bowiem występowały przypadki odmowy dostępu do informacji o wynikach pracy audytu wewnętrznego. Brak precyzyjnych unormowań w zakresie</w:t>
      </w:r>
      <w:r w:rsidRPr="001938CC">
        <w:rPr>
          <w:rFonts w:ascii="Times New Roman" w:eastAsiaTheme="minorHAnsi" w:hAnsi="Times New Roman"/>
        </w:rPr>
        <w:t xml:space="preserve"> udostępniania informacji związanej z działalnością audytu wewnętrznego, stanowiący </w:t>
      </w:r>
      <w:r w:rsidRPr="001938CC">
        <w:rPr>
          <w:rFonts w:ascii="Times New Roman" w:eastAsiaTheme="minorHAnsi" w:hAnsi="Times New Roman"/>
        </w:rPr>
        <w:lastRenderedPageBreak/>
        <w:t>konsekwencję uznania poprzednio obowiązujących rozwiązań za niezgodne z Konstytucją rodzi u adresatów regulacji niepewność co do zakresu ich praw i obowiązków, a organom, które go stosują, daje zbyt dużą swobodę i możliwość zastępowania prawodawcy w zakresie przesądzania tych kwestii. W efekcie projektowanych rozwiązań wzmocnieniu ulegnie przejrzystość działania organów władzy publicznej.</w:t>
      </w:r>
    </w:p>
    <w:p w14:paraId="1CFA369F" w14:textId="73DB029F"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Kształt proponowanych rozwiązań legislacyjnych wpisuje się również w możliwe kierunki interwencji wskazanej w wyroku Trybunału Konstytucyjnego z dnia 9 kwietnia 2015 r. W jego uzasadnieniu podkreślono, że </w:t>
      </w:r>
      <w:r w:rsidRPr="001938CC">
        <w:rPr>
          <w:rFonts w:ascii="Times New Roman" w:eastAsiaTheme="minorHAnsi" w:hAnsi="Times New Roman"/>
          <w:i/>
        </w:rPr>
        <w:t xml:space="preserve">„jeżeli w ocenie ustawodawcy, przewidziane w </w:t>
      </w:r>
      <w:proofErr w:type="spellStart"/>
      <w:r w:rsidRPr="001938CC">
        <w:rPr>
          <w:rFonts w:ascii="Times New Roman" w:eastAsiaTheme="minorHAnsi" w:hAnsi="Times New Roman"/>
          <w:i/>
        </w:rPr>
        <w:t>u.d.i.p</w:t>
      </w:r>
      <w:proofErr w:type="spellEnd"/>
      <w:r w:rsidRPr="001938CC">
        <w:rPr>
          <w:rFonts w:ascii="Times New Roman" w:eastAsiaTheme="minorHAnsi" w:hAnsi="Times New Roman"/>
          <w:i/>
        </w:rPr>
        <w:t xml:space="preserve"> ograniczenia prawa dostępu do informacji publicznej okażą się niewystraczające z punktu widzenia prawidłowego funkcjonowania systemu audytu wewnętrznego, ustawodawca powinien rozważyć ewentualną potrzebę unormowania odstępstw w niezbędnym zakresie od zasad i trybu dostępu do dokumentów audytowych w stosunku do ustawy o dostępie do informacji publicznej, np. w nawiązaniu do różnych faz (etapów) procedury audytowej.”</w:t>
      </w:r>
      <w:r w:rsidRPr="001938CC">
        <w:rPr>
          <w:rFonts w:ascii="Times New Roman" w:eastAsiaTheme="minorHAnsi" w:hAnsi="Times New Roman"/>
        </w:rPr>
        <w:t xml:space="preserve"> </w:t>
      </w:r>
    </w:p>
    <w:p w14:paraId="460E30B4" w14:textId="77777777"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Przyjęty czasowy zakres ograniczeń dostępności informacji publicznej uwzględnia ponadto stanowisko Rzecznika Praw Obywatelskich, zawarte we wniosku o stwierdzenie niezgodności przepisów, w odniesieniu do zasad regulujących sposób dostępu do dokumentacji audytu wewnętrznego. Zgodnie z wyrażonym poglądem </w:t>
      </w:r>
      <w:r w:rsidRPr="001938CC">
        <w:rPr>
          <w:rFonts w:ascii="Times New Roman" w:eastAsiaTheme="minorHAnsi" w:hAnsi="Times New Roman"/>
          <w:i/>
        </w:rPr>
        <w:t>(…) nałożenie ograniczeń na prawo do informacji, poprzez udostępnienie dokumentów wytworzonych przez audytora wewnętrznego w trakcie prowadzenia audytu dopiero po zakończeniu wszystkich czynności audytu, mogłoby zostać uznane za zgodne z zasadą proporcjonalności wynikającą z art. 31 ust. 3 Konstytucji</w:t>
      </w:r>
      <w:r w:rsidRPr="001938CC">
        <w:rPr>
          <w:rFonts w:ascii="Times New Roman" w:eastAsiaTheme="minorHAnsi" w:hAnsi="Times New Roman"/>
          <w:iCs/>
          <w:vertAlign w:val="superscript"/>
        </w:rPr>
        <w:footnoteReference w:id="13"/>
      </w:r>
      <w:r w:rsidRPr="001938CC">
        <w:rPr>
          <w:rFonts w:ascii="Times New Roman" w:eastAsiaTheme="minorHAnsi" w:hAnsi="Times New Roman"/>
        </w:rPr>
        <w:t xml:space="preserve">. </w:t>
      </w:r>
    </w:p>
    <w:p w14:paraId="296F330C" w14:textId="77777777"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Proponowany kierunek zmian legislacyjnych pozostaje także w zgodzie z oceną Prokuratora Generalnego, przedstawioną w toku postępowania przed Trybunałem Konstytucyjnym. W ocenie Prokuratora Generalnego</w:t>
      </w:r>
      <w:r w:rsidRPr="001938CC">
        <w:rPr>
          <w:rFonts w:ascii="Times New Roman" w:eastAsiaTheme="minorHAnsi" w:hAnsi="Times New Roman"/>
          <w:i/>
        </w:rPr>
        <w:t xml:space="preserve"> (…) możliwe jest wprowadzenie w regulacji ustawowej pewnych obostrzeń czy to czasowych, czy przedmiotowych (…), czego przykładem jest chociażby powołane w stanowisku Prokuratora Generalnego rozporządzenie WE nr 1049/2001 Parlamentu Europejskiego i Rady z dnia 30 maja 2001 roku w sprawie publicznego dostępu do dokumentów Parlamentu Europejskiego, Rady i Komisji</w:t>
      </w:r>
      <w:r w:rsidRPr="001938CC">
        <w:rPr>
          <w:rFonts w:ascii="Times New Roman" w:eastAsiaTheme="minorHAnsi" w:hAnsi="Times New Roman"/>
          <w:iCs/>
          <w:vertAlign w:val="superscript"/>
        </w:rPr>
        <w:footnoteReference w:id="14"/>
      </w:r>
      <w:r w:rsidRPr="001938CC">
        <w:rPr>
          <w:rFonts w:ascii="Times New Roman" w:eastAsiaTheme="minorHAnsi" w:hAnsi="Times New Roman"/>
        </w:rPr>
        <w:t>.</w:t>
      </w:r>
    </w:p>
    <w:p w14:paraId="2A061C0B" w14:textId="534BEC98"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Należy zatem wskazać, że rozwiązania zaproponowane przez projektodawcę są zbieżne z rozwiązaniami stosowanymi przez Komisję Europejską w odniesieniu do działań służby audytu wewnętrznego oraz Europejskiego Urzędu ds. Zwalczania Nadużyć Finansowych (OLAF). Rozwiązania te przewidują ograniczenie dostępności do dokumentacji audytu wewnętrznego do czasu pełnego wdrożenia zaleceń. Zgodnie z </w:t>
      </w:r>
      <w:r w:rsidRPr="001938CC">
        <w:rPr>
          <w:rFonts w:ascii="Times New Roman" w:eastAsiaTheme="minorHAnsi" w:hAnsi="Times New Roman"/>
          <w:i/>
        </w:rPr>
        <w:t>art. 118 ust. 9</w:t>
      </w:r>
      <w:r w:rsidRPr="001938CC">
        <w:rPr>
          <w:rFonts w:ascii="Times New Roman" w:eastAsiaTheme="minorHAnsi" w:hAnsi="Times New Roman"/>
        </w:rPr>
        <w:t xml:space="preserve"> [Uprawnienia i obowiązki audytora wewnętrznego] Rozporządzenia Parlamentu Europejskiego i Rady (UE, </w:t>
      </w:r>
      <w:proofErr w:type="spellStart"/>
      <w:r w:rsidRPr="001938CC">
        <w:rPr>
          <w:rFonts w:ascii="Times New Roman" w:eastAsiaTheme="minorHAnsi" w:hAnsi="Times New Roman"/>
        </w:rPr>
        <w:t>Euratom</w:t>
      </w:r>
      <w:proofErr w:type="spellEnd"/>
      <w:r w:rsidRPr="001938CC">
        <w:rPr>
          <w:rFonts w:ascii="Times New Roman" w:eastAsiaTheme="minorHAnsi" w:hAnsi="Times New Roman"/>
        </w:rPr>
        <w:t xml:space="preserve">) 2018/1046 z dnia 18 lipca 2018 r. </w:t>
      </w:r>
      <w:r w:rsidRPr="001938CC">
        <w:rPr>
          <w:rFonts w:ascii="Times New Roman" w:eastAsiaTheme="minorHAnsi" w:hAnsi="Times New Roman"/>
          <w:i/>
        </w:rPr>
        <w:t>w sprawie zasad finansowych mających zastosowanie do budżetu ogólnego Unii, zmieniające</w:t>
      </w:r>
      <w:r w:rsidR="00CA47B6">
        <w:rPr>
          <w:rFonts w:ascii="Times New Roman" w:eastAsiaTheme="minorHAnsi" w:hAnsi="Times New Roman"/>
          <w:i/>
        </w:rPr>
        <w:t>go</w:t>
      </w:r>
      <w:r w:rsidRPr="001938CC">
        <w:rPr>
          <w:rFonts w:ascii="Times New Roman" w:eastAsiaTheme="minorHAnsi" w:hAnsi="Times New Roman"/>
          <w:i/>
        </w:rPr>
        <w:t xml:space="preserve"> rozporządzenia (UE) nr 1296/2013, (UE) nr 1301/2013, (UE) nr 1303/2013, (UE) nr 1304/2013, (UE) nr 1309/2013, (UE) nr 1316/2013, (UE) nr 223/2014 i (UE) nr 283/2014 oraz decyzję nr 541/2014/UE, a także uchylające rozporządzenie (UE, </w:t>
      </w:r>
      <w:proofErr w:type="spellStart"/>
      <w:r w:rsidRPr="001938CC">
        <w:rPr>
          <w:rFonts w:ascii="Times New Roman" w:eastAsiaTheme="minorHAnsi" w:hAnsi="Times New Roman"/>
          <w:i/>
        </w:rPr>
        <w:t>Euratom</w:t>
      </w:r>
      <w:proofErr w:type="spellEnd"/>
      <w:r w:rsidRPr="001938CC">
        <w:rPr>
          <w:rFonts w:ascii="Times New Roman" w:eastAsiaTheme="minorHAnsi" w:hAnsi="Times New Roman"/>
          <w:i/>
        </w:rPr>
        <w:t>) nr 966/2012</w:t>
      </w:r>
      <w:r w:rsidRPr="001938CC">
        <w:rPr>
          <w:rFonts w:ascii="Times New Roman" w:eastAsiaTheme="minorHAnsi" w:hAnsi="Times New Roman"/>
        </w:rPr>
        <w:t xml:space="preserve"> – Sprawozdania i ustalenia audytora wewnętrznego oraz sprawozdanie danej instytucji Unii są udostępniane publicznie dopiero po </w:t>
      </w:r>
      <w:r w:rsidRPr="001938CC">
        <w:rPr>
          <w:rFonts w:ascii="Times New Roman" w:eastAsiaTheme="minorHAnsi" w:hAnsi="Times New Roman"/>
        </w:rPr>
        <w:lastRenderedPageBreak/>
        <w:t>zatwierdzeniu przez audytora wewnętrznego działań podjętych w celu wdrożenia zaleceń zawartych w tych sprawozdaniach i ustaleniach.</w:t>
      </w:r>
    </w:p>
    <w:p w14:paraId="476E8CD1" w14:textId="77777777"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Zaproponowane rozwiązania są także spójne z brzmieniem międzynarodowych standardów audytu wewnętrznego. Standard 2500 „Monitorowanie postępów” (</w:t>
      </w:r>
      <w:r w:rsidRPr="001938CC">
        <w:rPr>
          <w:rFonts w:ascii="Times New Roman" w:eastAsiaTheme="minorHAnsi" w:hAnsi="Times New Roman"/>
          <w:i/>
        </w:rPr>
        <w:t>Zarządzający audytem wewnętrznym musi stworzyć i zapewnić działanie systemu monitorowania wyników audytu przekazanych kierownictwu.</w:t>
      </w:r>
      <w:r w:rsidRPr="001938CC">
        <w:rPr>
          <w:rFonts w:ascii="Times New Roman" w:eastAsiaTheme="minorHAnsi" w:hAnsi="Times New Roman"/>
        </w:rPr>
        <w:t xml:space="preserve">). Uwzględnia również wskazówki odnoszące się do zasad monitorowania czynności doradczych. Bowiem zgodnie ze standardem wdrożenia (2500. C1) audyt wewnętrzny musi monitorować wyniki zadań doradczych w zakresie uzgodnionym ze zleceniodawcą. </w:t>
      </w:r>
    </w:p>
    <w:p w14:paraId="771CF7F4" w14:textId="77777777"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Ponadto dla zaprojektowanych rozwiązań zasadnicze znaczenie mają również określone w standardach rozwiązania, odnoszące się do zasad, jak i zakresu udostępniania informacji wytworzonej w trakcie prowadzenia audytu wewnętrznego. Zgodnie ze standardem wdrożenia (2440.A2), w myśl którego o ile wymogi prawne, statutowe lub regulaminowe nie stanowią inaczej, przed udostępnieniem wyników osobom spoza organizacji, zarządzający audytem wewnętrznym musi ocenić potencjalne ryzyko dla organizacji, skonsultować się odpowiednio z kierownictwem wyższego szczebla i/lub radcą prawnym, a także kontrolować rozpowszechnianie wyników, ograniczając możliwości ich wykorzystania.</w:t>
      </w:r>
    </w:p>
    <w:p w14:paraId="2D61372A" w14:textId="77777777"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Konieczność systemowego rozwiązania kwestii udostępniania informacji publicznej, w sposób zapewniający dostęp obywateli do informacji o działalności podmiotów publicznych, z jednoczesnym zachowaniem ograniczeń w dostępie do wiedzy o stosowanych środkach i metodach zapewniających bezpieczeństwo przetwarzanych informacji postulowała także Najwyższa Izba Kontroli. Projektowane rozwiązania wychodzą naprzeciw tym oczekiwaniom. Niejednokrotnie bowiem, audyty wewnętrzne prowadzone w jednostkach sektora finansów publicznych, dotyczą obszaru bezpieczeństwa IT</w:t>
      </w:r>
      <w:r w:rsidRPr="001938CC">
        <w:rPr>
          <w:rFonts w:ascii="Times New Roman" w:eastAsiaTheme="minorHAnsi" w:hAnsi="Times New Roman"/>
          <w:iCs/>
          <w:vertAlign w:val="superscript"/>
        </w:rPr>
        <w:footnoteReference w:id="15"/>
      </w:r>
      <w:r w:rsidRPr="001938CC">
        <w:rPr>
          <w:rFonts w:ascii="Times New Roman" w:eastAsiaTheme="minorHAnsi" w:hAnsi="Times New Roman"/>
        </w:rPr>
        <w:t>.</w:t>
      </w:r>
    </w:p>
    <w:p w14:paraId="058E12EA" w14:textId="625B1835" w:rsid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Projektodawca proponując rozwiązania prawne dokonał wyboru rozwiązania, które uznać należy za najmniej uciążliwe dla podmiotów wnioskujących o udostępnienie informacji publicznej i pozostające w adekwatnej proporcji do ograniczeń, i dolegliwych w stopniu nie większym niż jest to niezbędne d</w:t>
      </w:r>
      <w:r w:rsidR="00CF175A">
        <w:rPr>
          <w:rFonts w:ascii="Times New Roman" w:eastAsiaTheme="minorHAnsi" w:hAnsi="Times New Roman"/>
        </w:rPr>
        <w:t>la osiągnięcia założonego celu.</w:t>
      </w:r>
    </w:p>
    <w:p w14:paraId="22138828" w14:textId="77777777" w:rsidR="00CF175A" w:rsidRPr="001938CC" w:rsidRDefault="00CF175A">
      <w:pPr>
        <w:spacing w:before="120" w:after="120" w:line="276" w:lineRule="auto"/>
        <w:jc w:val="both"/>
        <w:rPr>
          <w:rFonts w:ascii="Times New Roman" w:eastAsiaTheme="minorHAnsi" w:hAnsi="Times New Roman"/>
        </w:rPr>
      </w:pPr>
    </w:p>
    <w:p w14:paraId="36784784" w14:textId="6536E559"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zmiana art. 285</w:t>
      </w:r>
    </w:p>
    <w:p w14:paraId="3F5C68BF" w14:textId="77777777" w:rsid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W </w:t>
      </w:r>
      <w:r w:rsidRPr="001938CC">
        <w:rPr>
          <w:rFonts w:ascii="Times New Roman" w:eastAsiaTheme="minorHAnsi" w:hAnsi="Times New Roman"/>
          <w:i/>
        </w:rPr>
        <w:t xml:space="preserve">art. 285 </w:t>
      </w:r>
      <w:r w:rsidRPr="001938CC">
        <w:rPr>
          <w:rFonts w:ascii="Times New Roman" w:eastAsiaTheme="minorHAnsi" w:hAnsi="Times New Roman"/>
        </w:rPr>
        <w:t>rozszerzono obecnie istniejącą delegację do wydania aktu wykonawczego</w:t>
      </w:r>
      <w:r w:rsidRPr="001938CC">
        <w:rPr>
          <w:rFonts w:ascii="Times New Roman" w:eastAsiaTheme="minorHAnsi" w:hAnsi="Times New Roman"/>
          <w:i/>
        </w:rPr>
        <w:t xml:space="preserve"> </w:t>
      </w:r>
      <w:r w:rsidRPr="001938CC">
        <w:rPr>
          <w:rFonts w:ascii="Times New Roman" w:eastAsiaTheme="minorHAnsi" w:hAnsi="Times New Roman"/>
        </w:rPr>
        <w:t>o kwestie dotyczące trybu przeprowadzania audytu wewnętrznego koordynowanego oraz sposób opracowania, realizacji i dokumentowania programu zapewnienia i poprawy jakości funkcji audytu wewnętrznego. Dodatkowo zmiana brzmienia art. 285 wynika z dostosowania zakresu obecnie istniejącej delegacji do wprowadzanych ustawowo zmian.</w:t>
      </w:r>
    </w:p>
    <w:p w14:paraId="5BBC9380" w14:textId="77777777" w:rsidR="00CF175A" w:rsidRDefault="00CF175A">
      <w:pPr>
        <w:spacing w:before="120" w:after="120" w:line="276" w:lineRule="auto"/>
        <w:jc w:val="both"/>
        <w:rPr>
          <w:rFonts w:ascii="Times New Roman" w:eastAsiaTheme="minorHAnsi" w:hAnsi="Times New Roman"/>
        </w:rPr>
      </w:pPr>
    </w:p>
    <w:p w14:paraId="6C738511" w14:textId="77777777" w:rsidR="00CF175A" w:rsidRPr="001938CC" w:rsidRDefault="00CF175A">
      <w:pPr>
        <w:spacing w:before="120" w:after="120" w:line="276" w:lineRule="auto"/>
        <w:jc w:val="both"/>
        <w:rPr>
          <w:rFonts w:ascii="Times New Roman" w:eastAsiaTheme="minorHAnsi" w:hAnsi="Times New Roman"/>
        </w:rPr>
      </w:pPr>
    </w:p>
    <w:p w14:paraId="572B4067" w14:textId="06097C39"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lastRenderedPageBreak/>
        <w:t>zmian</w:t>
      </w:r>
      <w:r w:rsidR="00503C19">
        <w:rPr>
          <w:rFonts w:ascii="Times New Roman" w:eastAsiaTheme="minorHAnsi" w:hAnsi="Times New Roman"/>
          <w:b/>
          <w:i/>
        </w:rPr>
        <w:t>a</w:t>
      </w:r>
      <w:r w:rsidRPr="001938CC">
        <w:rPr>
          <w:rFonts w:ascii="Times New Roman" w:eastAsiaTheme="minorHAnsi" w:hAnsi="Times New Roman"/>
          <w:b/>
          <w:i/>
        </w:rPr>
        <w:t xml:space="preserve"> w art. 286</w:t>
      </w:r>
      <w:r w:rsidR="00503C19">
        <w:rPr>
          <w:rFonts w:ascii="Times New Roman" w:eastAsiaTheme="minorHAnsi" w:hAnsi="Times New Roman"/>
          <w:b/>
          <w:i/>
        </w:rPr>
        <w:t xml:space="preserve"> ust. 1 pkt 5, uchylenie lit. d i dodanie lit. e oraz uchylenie ust. 2</w:t>
      </w:r>
    </w:p>
    <w:p w14:paraId="3152812A" w14:textId="77777777"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 xml:space="preserve">W ust. 1 pkt 5 lit. e wprowadzono nowy sposób uzyskiwania kwalifikacji do prowadzenia audytu wewnętrznego w jednostkach sektora finansów publicznych poprzez możliwość złożenia z wynikiem pozytywnym egzaminu państwowego. Analiza kwalifikacji posiadanych przez audytorów wewnętrznych w sektorze publicznym wskazuje, że największą grupę czynnych zawodowo audytorów stanowią osoby, które posiadają egzamin zdany w latach 2003-2006 przed komisją egzaminacyjną powołaną przez Ministra Finansów. Wprowadzenie egzaminu państwowego z jednej strony otworzy szerszy dostęp do uzyskiwania kwalifikacji do prowadzenia audytu wewnętrznego, z drugiej zaś wypełni powstałą lukę w zdobywaniu międzynarodowych uprawnień w języku polskim, w efekcie zapewniając dopływ audytorów wewnętrznych do pracy w sektorze publicznym. Również relatywnie niskie koszty egzaminu nie będą stanowiły bariery finansowej dla osób chcących do niego przystąpić. </w:t>
      </w:r>
    </w:p>
    <w:p w14:paraId="4532089E" w14:textId="77777777" w:rsidR="001938CC" w:rsidRPr="001938CC"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Istotną zmianą w tym zakresie jest jednoczesna rezygnacja z możliwości uzyskiwania uprawnień do prowadzenia audytu wewnętrznego poprzez</w:t>
      </w:r>
      <w:r w:rsidRPr="001938CC">
        <w:rPr>
          <w:rFonts w:ascii="Times New Roman" w:eastAsiaTheme="minorHAnsi" w:hAnsi="Times New Roman"/>
        </w:rPr>
        <w:t xml:space="preserve"> ukończenie studiów podyplomowych i odbycie praktyki w zakresie audytu wewnętrznego (od 1 stycznia 2026 r.). Wynika to między innymi z braku możliwości weryfikowania przez Ministra Finansów programów studiów podyplomowych pod kątem ich zawartości merytorycznej. Duże wątpliwości interpretacyjne budzi również sposób odbywania praktyk, w tym między innymi kwestie nadzoru nad osobami, które je odbywają, ewentualnych przerw w ich odbywaniu, a w związku z tym sposobu liczenia dwuletniego okresu praktyki, jak również wymiaru i formy zatrudnienia praktykanta. Osoby podejmujące studia podyplomowe wielokrotnie zgłaszały również uwagi dotyczące trudności w znalezieniu komórki audytu wewnętrznego, w której możliwe byłoby odbycie praktyki. </w:t>
      </w:r>
    </w:p>
    <w:p w14:paraId="2B815F81" w14:textId="5B2A6BCF"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Co ważne, projektodawca określił trzyletni okres przejściowy, odnoszący się do osób, które rozpoczęły lub najpóźniej rozpoczną w 2023 r</w:t>
      </w:r>
      <w:r w:rsidR="00F14414">
        <w:rPr>
          <w:rFonts w:ascii="Times New Roman" w:eastAsiaTheme="minorHAnsi" w:hAnsi="Times New Roman"/>
        </w:rPr>
        <w:t xml:space="preserve">. </w:t>
      </w:r>
      <w:r w:rsidRPr="001938CC">
        <w:rPr>
          <w:rFonts w:ascii="Times New Roman" w:eastAsiaTheme="minorHAnsi" w:hAnsi="Times New Roman"/>
        </w:rPr>
        <w:t xml:space="preserve">(tj. po dniu wejścia w życie ustawy w nowym brzmieniu) uzyskiwanie uprawnień ww. drogą. Takie rozwiązanie umożliwi wszystkim zainteresowanym zakończenie rozpoczętych studiów lub praktyk. </w:t>
      </w:r>
    </w:p>
    <w:p w14:paraId="1D39A3FE" w14:textId="77777777" w:rsidR="001938CC" w:rsidRP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Okres przejściowy (trwający do 31 grudnia 2025 r.) umożliwi również uczelniom wyższym prowadzącym obecnie stadia podyplomowe z zakresu audytu wewnętrznego na przygotowanie nowych programów studiów podyplomowych, dzięki którym będą mogły przygotowywać kandydatów do egzaminu państwowego. </w:t>
      </w:r>
    </w:p>
    <w:p w14:paraId="47550FBB" w14:textId="77777777" w:rsidR="001938CC" w:rsidRDefault="001938CC">
      <w:pPr>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W ocenie projektodawcy, wprowadzenie egzaminu państwowego przy jednoczesnej rezygnacji z możliwości uzyskania kwalifikacji poprzez ukończenie studiów podyplomowych i praktykę </w:t>
      </w:r>
      <w:r w:rsidRPr="001938CC">
        <w:rPr>
          <w:rFonts w:ascii="Times New Roman" w:eastAsiaTheme="minorHAnsi" w:hAnsi="Times New Roman"/>
          <w:i/>
        </w:rPr>
        <w:t>de facto</w:t>
      </w:r>
      <w:r w:rsidRPr="001938CC">
        <w:rPr>
          <w:rFonts w:ascii="Times New Roman" w:eastAsiaTheme="minorHAnsi" w:hAnsi="Times New Roman"/>
        </w:rPr>
        <w:t xml:space="preserve"> ułatwi i poszerzy dostęp do uzyskania kwalifikacji zawodowych, umożliwiających prowadzenie audytu wewnętrznego. Jednocześnie należy podkreślić, że zgodnie z projektowaną zmianą pozostałe możliwości uzyskiwania kwalifikacji do prowadzania audytu wewnętrznego w jednostkach sektora finansów publicznych pozostaną bez zmian. Również kwalifikacje uzyskane na postawie dotychczasowych przepisów zachowają ważność.</w:t>
      </w:r>
    </w:p>
    <w:p w14:paraId="26C4C8C6" w14:textId="77777777" w:rsidR="00CF175A" w:rsidRDefault="00CF175A">
      <w:pPr>
        <w:spacing w:before="120" w:after="120" w:line="276" w:lineRule="auto"/>
        <w:jc w:val="both"/>
        <w:rPr>
          <w:rFonts w:ascii="Times New Roman" w:eastAsiaTheme="minorHAnsi" w:hAnsi="Times New Roman"/>
        </w:rPr>
      </w:pPr>
    </w:p>
    <w:p w14:paraId="66572779" w14:textId="77777777" w:rsidR="00CF175A" w:rsidRDefault="00CF175A">
      <w:pPr>
        <w:spacing w:before="120" w:after="120" w:line="276" w:lineRule="auto"/>
        <w:jc w:val="both"/>
        <w:rPr>
          <w:rFonts w:ascii="Times New Roman" w:eastAsiaTheme="minorHAnsi" w:hAnsi="Times New Roman"/>
        </w:rPr>
      </w:pPr>
    </w:p>
    <w:p w14:paraId="38923B1A" w14:textId="77777777" w:rsidR="00CF175A" w:rsidRPr="001938CC" w:rsidRDefault="00CF175A">
      <w:pPr>
        <w:spacing w:before="120" w:after="120" w:line="276" w:lineRule="auto"/>
        <w:jc w:val="both"/>
        <w:rPr>
          <w:rFonts w:ascii="Times New Roman" w:eastAsiaTheme="minorHAnsi" w:hAnsi="Times New Roman"/>
        </w:rPr>
      </w:pPr>
    </w:p>
    <w:p w14:paraId="25494536" w14:textId="71BF1AE6"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lastRenderedPageBreak/>
        <w:t>dodanie art. 286a</w:t>
      </w:r>
      <w:r w:rsidR="00F14414">
        <w:rPr>
          <w:rFonts w:ascii="Times New Roman" w:eastAsiaTheme="minorHAnsi" w:hAnsi="Times New Roman"/>
          <w:b/>
          <w:i/>
        </w:rPr>
        <w:t>–</w:t>
      </w:r>
      <w:r w:rsidRPr="001938CC">
        <w:rPr>
          <w:rFonts w:ascii="Times New Roman" w:eastAsiaTheme="minorHAnsi" w:hAnsi="Times New Roman"/>
          <w:b/>
          <w:i/>
        </w:rPr>
        <w:t>286d</w:t>
      </w:r>
    </w:p>
    <w:p w14:paraId="06F0FF03" w14:textId="67D7B21F"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Projektodawca proponuje dodanie nowych art. 286a</w:t>
      </w:r>
      <w:r w:rsidR="00F14414" w:rsidRPr="00F14414">
        <w:rPr>
          <w:rFonts w:ascii="Times New Roman" w:eastAsiaTheme="minorHAnsi" w:hAnsi="Times New Roman"/>
          <w:spacing w:val="-2"/>
        </w:rPr>
        <w:t>–</w:t>
      </w:r>
      <w:r w:rsidRPr="00F14414">
        <w:rPr>
          <w:rFonts w:ascii="Times New Roman" w:eastAsiaTheme="minorHAnsi" w:hAnsi="Times New Roman"/>
          <w:spacing w:val="-2"/>
        </w:rPr>
        <w:t>286d, które określają zasady powoływania, odwoływania i funkcjonowania Komisji Egzaminacyjnej oraz przeprowadzenia egzaminu państwowego. Projektowane przepisy mają na celu właściwe i sprawne przeprowadzenie egzaminów państwowych oraz wprowadzają rozwiązania mające na celu zapewnić właściwą realizację zadań przez Komisję Egzaminacyjną.</w:t>
      </w:r>
    </w:p>
    <w:p w14:paraId="6673DA1F" w14:textId="77777777"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a) art. 286a</w:t>
      </w:r>
    </w:p>
    <w:p w14:paraId="0583D4C5" w14:textId="77777777"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W ust. 1 został określony zakres tematyczny jaki będzie obowiązywać przy sprawdzaniu wiedzy teoretycznej i praktycznej kandydatów przystępujących do egzaminu państwowego. Zgodnie z ust. 2 i 3 projektowanych przepisów, egzamin państwowy przeprowadza się w formie pisemnej, w języku polskim i składa się on z pytań testowych oraz zadania egzaminacyjnego, tworzących zestaw egzaminacyjny.</w:t>
      </w:r>
    </w:p>
    <w:p w14:paraId="2D86468F" w14:textId="77777777"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W ust. 4 wskazano, że egzamin państwowy przeprowadza, co najmniej raz w roku, Państwowa Komisja Egzaminacyjna do Spraw Audytu Wewnętrznego, która będzie składać się z 9 członków powoływanych i odwoływanych przez Ministra Finansów (ust. 5).</w:t>
      </w:r>
    </w:p>
    <w:p w14:paraId="134DB03F" w14:textId="77777777"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W skład Komisji Egzaminacyjnej będzie wchodzić (ust. 6):</w:t>
      </w:r>
    </w:p>
    <w:p w14:paraId="266F21A0" w14:textId="77777777" w:rsidR="001938CC" w:rsidRPr="00F14414" w:rsidRDefault="001938CC">
      <w:pPr>
        <w:numPr>
          <w:ilvl w:val="0"/>
          <w:numId w:val="13"/>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przewodniczący wyznaczony przez Ministra Finansów,</w:t>
      </w:r>
    </w:p>
    <w:p w14:paraId="1069CE92" w14:textId="77777777" w:rsidR="001938CC" w:rsidRPr="001938CC" w:rsidRDefault="001938CC">
      <w:pPr>
        <w:numPr>
          <w:ilvl w:val="0"/>
          <w:numId w:val="13"/>
        </w:numPr>
        <w:spacing w:before="120" w:after="200" w:line="276" w:lineRule="auto"/>
        <w:contextualSpacing/>
        <w:jc w:val="both"/>
        <w:rPr>
          <w:rFonts w:ascii="Times New Roman" w:eastAsiaTheme="minorHAnsi" w:hAnsi="Times New Roman"/>
        </w:rPr>
      </w:pPr>
      <w:r w:rsidRPr="001938CC">
        <w:rPr>
          <w:rFonts w:ascii="Times New Roman" w:eastAsiaTheme="minorHAnsi" w:hAnsi="Times New Roman"/>
        </w:rPr>
        <w:t>4 pracowników zatrudnionych lub pełniących służbę w urzędzie obsługującym Ministra Finansów lub w jednostkach organizacyjnych Krajowej Administracji Skarbowej,</w:t>
      </w:r>
    </w:p>
    <w:p w14:paraId="4626698A" w14:textId="77777777" w:rsidR="001938CC" w:rsidRPr="001938CC" w:rsidRDefault="001938CC">
      <w:pPr>
        <w:numPr>
          <w:ilvl w:val="0"/>
          <w:numId w:val="13"/>
        </w:numPr>
        <w:spacing w:before="120" w:after="200" w:line="276" w:lineRule="auto"/>
        <w:contextualSpacing/>
        <w:jc w:val="both"/>
        <w:rPr>
          <w:rFonts w:ascii="Times New Roman" w:eastAsiaTheme="minorHAnsi" w:hAnsi="Times New Roman"/>
        </w:rPr>
      </w:pPr>
      <w:r w:rsidRPr="001938CC">
        <w:rPr>
          <w:rFonts w:ascii="Times New Roman" w:eastAsiaTheme="minorHAnsi" w:hAnsi="Times New Roman"/>
        </w:rPr>
        <w:t>4 przedstawicieli środowisk akademickich.</w:t>
      </w:r>
    </w:p>
    <w:p w14:paraId="4AABBD4E" w14:textId="77777777"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W ust. 7 określono wymagania, jakie będą stawiane przed członkami Komisji Egzaminacyjnej. Zgodnie z projektowanym przepisem, członkiem Komisji Egzaminacyjnej będzie mogła być osoba, która:</w:t>
      </w:r>
    </w:p>
    <w:p w14:paraId="398A41F0" w14:textId="77777777" w:rsidR="001938CC" w:rsidRPr="00F14414" w:rsidRDefault="001938CC">
      <w:pPr>
        <w:numPr>
          <w:ilvl w:val="0"/>
          <w:numId w:val="14"/>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korzysta z pełni praw publicznych,</w:t>
      </w:r>
    </w:p>
    <w:p w14:paraId="08105D8C" w14:textId="77777777" w:rsidR="001938CC" w:rsidRPr="00F14414" w:rsidRDefault="001938CC">
      <w:pPr>
        <w:numPr>
          <w:ilvl w:val="0"/>
          <w:numId w:val="14"/>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ma nieposzlakowaną opinię,</w:t>
      </w:r>
    </w:p>
    <w:p w14:paraId="76E170AA" w14:textId="77777777" w:rsidR="001938CC" w:rsidRPr="00F14414" w:rsidRDefault="001938CC">
      <w:pPr>
        <w:numPr>
          <w:ilvl w:val="0"/>
          <w:numId w:val="14"/>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nie była skazana prawomocnym wyrokiem za umyślne przestępstwo lub umyślne przestępstwo skarbowe,</w:t>
      </w:r>
    </w:p>
    <w:p w14:paraId="41AC1B6D" w14:textId="77777777" w:rsidR="001938CC" w:rsidRPr="00F14414" w:rsidRDefault="001938CC">
      <w:pPr>
        <w:numPr>
          <w:ilvl w:val="0"/>
          <w:numId w:val="14"/>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posiada wyższe wykształcenie,</w:t>
      </w:r>
    </w:p>
    <w:p w14:paraId="02A4ED35" w14:textId="77777777" w:rsidR="001938CC" w:rsidRPr="00F14414" w:rsidRDefault="001938CC">
      <w:pPr>
        <w:numPr>
          <w:ilvl w:val="0"/>
          <w:numId w:val="14"/>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posiada wiedzę oraz doświadczenie, które dają rękojmię prawidłowego przebiegu i zachowania odpowiedniego poziomu merytorycznego egzaminów państwowych.</w:t>
      </w:r>
    </w:p>
    <w:p w14:paraId="0C2CBE1C" w14:textId="77777777"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Projektodawca określił także, że kadencja Komisji Egzaminacyjnej będzie trwała 4 lata (ust. 8). Dla zachowania ciągłości działania Komisji określono, że Komisja Egzaminacyjna może działać do czasu powołania Komisji Egzaminacyjnej kolejnej kadencji, nie dłużej jednak niż przez okres 6 miesięcy od dnia zakończenia kadencji.</w:t>
      </w:r>
    </w:p>
    <w:p w14:paraId="2B85DFF6" w14:textId="1D4F8D3B"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 xml:space="preserve">Ponadto w ust. 9 wskazano przypadki, w których nastąpi obligatoryjne oraz fakultatywne odwołanie członka Komisji Egzaminacyjnej przed upływem kadencji Komisji. Natomiast w ust. 10 zostało </w:t>
      </w:r>
      <w:r w:rsidR="008A06C9" w:rsidRPr="00F14414">
        <w:rPr>
          <w:rFonts w:ascii="Times New Roman" w:eastAsiaTheme="minorHAnsi" w:hAnsi="Times New Roman"/>
          <w:spacing w:val="-2"/>
        </w:rPr>
        <w:t>przewidziane</w:t>
      </w:r>
      <w:r w:rsidRPr="00F14414">
        <w:rPr>
          <w:rFonts w:ascii="Times New Roman" w:eastAsiaTheme="minorHAnsi" w:hAnsi="Times New Roman"/>
          <w:spacing w:val="-2"/>
        </w:rPr>
        <w:t xml:space="preserve"> uprawnienie dla Ministra Finansów do powołania nowego członka Komisji Egzaminacyjnej w przypadku odwołania albo śmierci członka Komisji Egzaminacyjnej. Dodatkowo zaproponowano przepisy, na podstawie których kadencja</w:t>
      </w:r>
      <w:r w:rsidR="00D71244" w:rsidRPr="00F14414">
        <w:rPr>
          <w:rFonts w:ascii="Times New Roman" w:eastAsiaTheme="minorHAnsi" w:hAnsi="Times New Roman"/>
          <w:spacing w:val="-2"/>
        </w:rPr>
        <w:t xml:space="preserve"> nowego członka</w:t>
      </w:r>
      <w:r w:rsidRPr="00F14414">
        <w:rPr>
          <w:rFonts w:ascii="Times New Roman" w:eastAsiaTheme="minorHAnsi" w:hAnsi="Times New Roman"/>
          <w:spacing w:val="-2"/>
        </w:rPr>
        <w:t xml:space="preserve"> kończy się wraz z upływem kadencji Komisji Egzaminacyjnej – co ułatwi powoływanie Komisji Egzaminacyjnej kolejnej kadencji. </w:t>
      </w:r>
    </w:p>
    <w:p w14:paraId="49EDBC25" w14:textId="77777777"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lastRenderedPageBreak/>
        <w:t>Wprowadzono także przepisy, których celem jest zapobieżenie powstaniu konfliktu interesów oraz zapewnienie poufności informacji uzyskiwanych przez członków Komisji Egzaminacyjnej, w szczególności w zakresie pytań testowych oraz zadań egzaminacyjnych. W związku z tym członkowie Komisji Egzaminacyjnej nie będą mogli brać udziału w żadnym charakterze w przedsięwzięciach związanych z przygotowywaniem kandydatów do egzaminu ani publikować materiałów dotyczących egzaminu państwowego, w tym materiałów i publikacji książkowych przygotowujących do egzaminu państwowego (ust. 11).</w:t>
      </w:r>
    </w:p>
    <w:p w14:paraId="4057B597" w14:textId="77777777"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Projektowane przepisy określają także zadania Komisji Egzaminacyjnej. Zgodnie z ust. 12 do zadań Komisji Egzaminacyjnej będzie należało przeprowadzanie egzaminów państwowych, ustalanie pytań testowych i zadań egzaminacyjnych oraz przygotowywanie zestawów egzaminacyjnych. Zgodnie z projektowanymi przepisami Komisja Egzaminacyjna będzie także rozpatrywała odwołania od decyzji składów egzaminacyjnych o wykluczeniu kandydatów i od wyników egzaminów państwowych.</w:t>
      </w:r>
    </w:p>
    <w:p w14:paraId="7FDE316D" w14:textId="77777777"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b) art. 286b</w:t>
      </w:r>
    </w:p>
    <w:p w14:paraId="0A1B1F0F" w14:textId="7A79FBA4" w:rsidR="001938CC" w:rsidRPr="00F14414" w:rsidRDefault="001938CC">
      <w:pPr>
        <w:autoSpaceDE w:val="0"/>
        <w:autoSpaceDN w:val="0"/>
        <w:adjustRightInd w:val="0"/>
        <w:spacing w:before="120" w:after="120" w:line="276" w:lineRule="auto"/>
        <w:jc w:val="both"/>
        <w:rPr>
          <w:rFonts w:ascii="Times New Roman" w:eastAsiaTheme="minorHAnsi" w:hAnsi="Times New Roman"/>
        </w:rPr>
      </w:pPr>
      <w:r w:rsidRPr="00F14414">
        <w:rPr>
          <w:rFonts w:ascii="Times New Roman" w:eastAsiaTheme="minorHAnsi" w:hAnsi="Times New Roman"/>
        </w:rPr>
        <w:t>Zgodnie z ust. 1 pracami Komisji Egzaminacyjnej kierować będzie jej przewodniczący, który wyznacza spośród członków Komisji Egzaminacyjnej czteroosobowe składy egzaminacyjne na poszczególne egzaminy państwowe oraz przewodniczących tych składów. Komisja Egzaminacyjna, jako ciało kolegialne, będzie podejmowała decyzje w formie uchwał (ust. 2), a jej funkcjonowanie</w:t>
      </w:r>
      <w:r w:rsidR="00D71244" w:rsidRPr="00F14414">
        <w:rPr>
          <w:rFonts w:ascii="Times New Roman" w:eastAsiaTheme="minorHAnsi" w:hAnsi="Times New Roman"/>
        </w:rPr>
        <w:t>, w tym także sposób podejmowania uchwał,</w:t>
      </w:r>
      <w:r w:rsidRPr="00F14414">
        <w:rPr>
          <w:rFonts w:ascii="Times New Roman" w:eastAsiaTheme="minorHAnsi" w:hAnsi="Times New Roman"/>
        </w:rPr>
        <w:t xml:space="preserve"> będzie określał regulamin – określany w drodze zarządzenia przez Ministra Finansów, na wniosek jej przewodniczącego (ust. 5).</w:t>
      </w:r>
    </w:p>
    <w:p w14:paraId="4D832AAF" w14:textId="77777777" w:rsidR="001938CC" w:rsidRPr="001938CC" w:rsidRDefault="001938CC">
      <w:pPr>
        <w:autoSpaceDE w:val="0"/>
        <w:autoSpaceDN w:val="0"/>
        <w:adjustRightInd w:val="0"/>
        <w:spacing w:before="120" w:after="120" w:line="276" w:lineRule="auto"/>
        <w:jc w:val="both"/>
        <w:rPr>
          <w:rFonts w:ascii="Times New Roman" w:eastAsiaTheme="minorHAnsi" w:hAnsi="Times New Roman"/>
        </w:rPr>
      </w:pPr>
      <w:r w:rsidRPr="001938CC">
        <w:rPr>
          <w:rFonts w:ascii="Times New Roman" w:eastAsiaTheme="minorHAnsi" w:hAnsi="Times New Roman"/>
        </w:rPr>
        <w:t xml:space="preserve">Obsługę Komisji Egzaminacyjnej i egzaminów państwowych będzie zapewniać Krajowa Szkoła Skarbowości, </w:t>
      </w:r>
      <w:r w:rsidRPr="00F14414">
        <w:rPr>
          <w:rFonts w:ascii="Times New Roman" w:eastAsiaTheme="minorHAnsi" w:hAnsi="Times New Roman"/>
        </w:rPr>
        <w:t>o której mowa w art. 36 ust. 1 pkt 6</w:t>
      </w:r>
      <w:r w:rsidRPr="001938CC">
        <w:rPr>
          <w:rFonts w:ascii="Times New Roman" w:eastAsiaTheme="minorHAnsi" w:hAnsi="Times New Roman"/>
        </w:rPr>
        <w:t xml:space="preserve"> ustawy z dnia 16 listopada 2016 r. </w:t>
      </w:r>
      <w:r w:rsidRPr="001938CC">
        <w:rPr>
          <w:rFonts w:ascii="Times New Roman" w:eastAsiaTheme="minorHAnsi" w:hAnsi="Times New Roman"/>
          <w:i/>
        </w:rPr>
        <w:t>o Krajowej Administracji Skarbowej</w:t>
      </w:r>
      <w:r w:rsidRPr="001938CC">
        <w:rPr>
          <w:rFonts w:ascii="Times New Roman" w:eastAsiaTheme="minorHAnsi" w:hAnsi="Times New Roman"/>
          <w:iCs/>
          <w:vertAlign w:val="superscript"/>
        </w:rPr>
        <w:footnoteReference w:id="16"/>
      </w:r>
      <w:r w:rsidRPr="001938CC">
        <w:rPr>
          <w:rFonts w:ascii="Times New Roman" w:eastAsiaTheme="minorHAnsi" w:hAnsi="Times New Roman"/>
        </w:rPr>
        <w:t>. Krajowa Szkoła Skarbowości będzie też pokrywała koszty organizacji i przeprowadzenia egzaminów państwowych, koszty wynagrodzeń członków Komisji Egzaminacyjnej oraz koszty obsługi Komisji Egzaminacyjnej (</w:t>
      </w:r>
      <w:r w:rsidRPr="001938CC">
        <w:rPr>
          <w:rFonts w:ascii="Times New Roman" w:eastAsiaTheme="minorHAnsi" w:hAnsi="Times New Roman"/>
          <w:i/>
        </w:rPr>
        <w:t>ust. 3</w:t>
      </w:r>
      <w:r w:rsidRPr="001938CC">
        <w:rPr>
          <w:rFonts w:ascii="Times New Roman" w:eastAsiaTheme="minorHAnsi" w:hAnsi="Times New Roman"/>
        </w:rPr>
        <w:t>).</w:t>
      </w:r>
    </w:p>
    <w:p w14:paraId="3C096A2B" w14:textId="77777777" w:rsidR="001938CC" w:rsidRPr="00F14414" w:rsidRDefault="001938CC">
      <w:pPr>
        <w:autoSpaceDE w:val="0"/>
        <w:autoSpaceDN w:val="0"/>
        <w:adjustRightInd w:val="0"/>
        <w:spacing w:before="120" w:after="120" w:line="276" w:lineRule="auto"/>
        <w:jc w:val="both"/>
        <w:rPr>
          <w:rFonts w:ascii="Times New Roman" w:eastAsiaTheme="minorHAnsi" w:hAnsi="Times New Roman"/>
        </w:rPr>
      </w:pPr>
      <w:r w:rsidRPr="00F14414">
        <w:rPr>
          <w:rFonts w:ascii="Times New Roman" w:eastAsiaTheme="minorHAnsi" w:hAnsi="Times New Roman"/>
        </w:rPr>
        <w:t>Projektowane przepisy wskazują także, że to Dyrektor Krajowej Szkoły Skarbowości będzie administratorem danych przetwarzanych w celach związanych z działalnością Komisji Egzaminacyjnej oraz organizacją i przeprowadzeniem egzaminu państwowego (ust. 4).</w:t>
      </w:r>
    </w:p>
    <w:p w14:paraId="503AD15B" w14:textId="77777777" w:rsidR="001938CC" w:rsidRPr="00F14414" w:rsidRDefault="001938CC">
      <w:pPr>
        <w:autoSpaceDE w:val="0"/>
        <w:autoSpaceDN w:val="0"/>
        <w:adjustRightInd w:val="0"/>
        <w:spacing w:before="120" w:after="120" w:line="276" w:lineRule="auto"/>
        <w:jc w:val="both"/>
        <w:rPr>
          <w:rFonts w:ascii="Times New Roman" w:eastAsiaTheme="minorHAnsi" w:hAnsi="Times New Roman"/>
        </w:rPr>
      </w:pPr>
      <w:r w:rsidRPr="00F14414">
        <w:rPr>
          <w:rFonts w:ascii="Times New Roman" w:eastAsiaTheme="minorHAnsi" w:hAnsi="Times New Roman"/>
        </w:rPr>
        <w:t>Ważnym elementem nadzoru nad działaniem Komisji Egzaminacyjnej będzie obowiązek sporządzania przez Komisję rocznego sprawozdania z jej działalności, które będzie przedkładane Ministrowi Finansów, w terminie do dnia 31 marca następnego roku (ust. 6).</w:t>
      </w:r>
    </w:p>
    <w:p w14:paraId="7B7E72D0" w14:textId="77777777" w:rsidR="001938CC" w:rsidRPr="00F14414" w:rsidRDefault="001938CC">
      <w:pPr>
        <w:autoSpaceDE w:val="0"/>
        <w:autoSpaceDN w:val="0"/>
        <w:adjustRightInd w:val="0"/>
        <w:spacing w:before="120" w:after="120" w:line="276" w:lineRule="auto"/>
        <w:jc w:val="both"/>
        <w:rPr>
          <w:rFonts w:ascii="Times New Roman" w:eastAsiaTheme="minorHAnsi" w:hAnsi="Times New Roman"/>
        </w:rPr>
      </w:pPr>
      <w:r w:rsidRPr="00F14414">
        <w:rPr>
          <w:rFonts w:ascii="Times New Roman" w:eastAsiaTheme="minorHAnsi" w:hAnsi="Times New Roman"/>
        </w:rPr>
        <w:t>Zgodnie z ust. 7 członkom Komisji Egzaminacyjnej będzie przysługiwało wynagrodzenie. Przepisy ustawy wprowadzają górne limity wynagrodzenia za poszczególne czynności wykonywane przez członków Komisji Egzaminacyjnej – odnoszące się do przeciętnego wynagrodzenia w gospodarce narodowej, ogłoszonego przez Prezesa Głównego Urzędu Statystycznego za poprzedni rok kalendarzowy. Ostateczną wysokość wynagrodzenia</w:t>
      </w:r>
      <w:r w:rsidRPr="001938CC">
        <w:rPr>
          <w:rFonts w:ascii="Times New Roman" w:eastAsiaTheme="minorHAnsi" w:hAnsi="Times New Roman"/>
        </w:rPr>
        <w:t xml:space="preserve"> przysługującego członkom Komisji Egzaminacyjnej będzie określał Minister Finansów, który po uwzględnieniu nakładu pracy i zakresu obowiązków poszczególnych członków Komisji </w:t>
      </w:r>
      <w:r w:rsidRPr="00F14414">
        <w:rPr>
          <w:rFonts w:ascii="Times New Roman" w:eastAsiaTheme="minorHAnsi" w:hAnsi="Times New Roman"/>
        </w:rPr>
        <w:lastRenderedPageBreak/>
        <w:t>Egzaminacyjnej określi, w formie rozporządzenia, szczegółowe stawki za poszczególne czynności związane z realizacją zadań Komisji (ust. 8).</w:t>
      </w:r>
    </w:p>
    <w:p w14:paraId="3D077ED6" w14:textId="77777777"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c) art. 286c</w:t>
      </w:r>
    </w:p>
    <w:p w14:paraId="6399B986" w14:textId="547E74AF" w:rsidR="001938CC" w:rsidRPr="001938CC" w:rsidRDefault="001938CC">
      <w:pPr>
        <w:autoSpaceDE w:val="0"/>
        <w:autoSpaceDN w:val="0"/>
        <w:adjustRightInd w:val="0"/>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W celu zagwarantowania bezstronności prac Komisji Egzaminacyjnej ustanowiony został mechanizm ograniczający ryzyka związane z możliwością zaistnienia konfliktu interesów  (ust. 1</w:t>
      </w:r>
      <w:r w:rsidR="00F14414">
        <w:rPr>
          <w:rFonts w:ascii="Times New Roman" w:eastAsiaTheme="minorHAnsi" w:hAnsi="Times New Roman"/>
          <w:spacing w:val="-2"/>
        </w:rPr>
        <w:t>–</w:t>
      </w:r>
      <w:r w:rsidRPr="00F14414">
        <w:rPr>
          <w:rFonts w:ascii="Times New Roman" w:eastAsiaTheme="minorHAnsi" w:hAnsi="Times New Roman"/>
          <w:spacing w:val="-2"/>
        </w:rPr>
        <w:t>3). Z uwagi na charakter egzaminu państwowego niezbędne jest bowiem wykluczenie z prac składów egzaminacyjnych tych członków Komisji Egzaminacyjnej, których łączą z kandydatami relacje określonego rodzaju. Wykluczeniu ze składu egzaminacyjnego będzie podlegać członek komisji w przypadku gdy kandydat pozostaje wobec niego w stosunku pokrewieństwa albo powinowactwa do drugiego stopnia lub w stosunku przysposobienia. Katalog przesłanek uzasadniających wykluczenie uwzględnia również pozostawanie w relacji małżeńskiej, jak również przypadki pozostawania we wspólnym pożyciu. Przesłanki wyłączenia trwać będą pomimo ustania małżeństwa lub przysposobienia</w:t>
      </w:r>
      <w:r w:rsidRPr="001938CC">
        <w:rPr>
          <w:rFonts w:ascii="Times New Roman" w:eastAsiaTheme="minorHAnsi" w:hAnsi="Times New Roman"/>
          <w:spacing w:val="-2"/>
        </w:rPr>
        <w:t xml:space="preserve">. Dodatkowo wprowadzony zostaje otwarty katalog podstaw do wyłączenia, uwzględniając przypadki istnienia stosunku osobistego innego rodzaju, jaki mógłby wywoływać wątpliwości co do bezstronności członka Komisji Egzaminacyjnej, w tym m.in. przypadki zależności służbowej. Ustawa nakłada na członków Komisji Egzaminacyjnej po ustaleniu listy kandydatów zakwalifikowanych do egzaminu państwowego obowiązek złożenia pisemnego oświadczenia, że nie występują żadne z przesłanek stanowiących podstawę do wyłączenia. Ustawa przewiduje również sankcję karną za podanie fałszywego oświadczenia o braku przesłanek, o których mowa powyżej. Członek Komisji Egzaminacyjnej podlegać będzie odpowiedzialności karnej z tytułu złożenia fałszywych zeznań, </w:t>
      </w:r>
      <w:r w:rsidRPr="00F14414">
        <w:rPr>
          <w:rFonts w:ascii="Times New Roman" w:eastAsiaTheme="minorHAnsi" w:hAnsi="Times New Roman"/>
          <w:spacing w:val="-2"/>
        </w:rPr>
        <w:t>określon</w:t>
      </w:r>
      <w:r w:rsidR="00CA47B6" w:rsidRPr="00F14414">
        <w:rPr>
          <w:rFonts w:ascii="Times New Roman" w:eastAsiaTheme="minorHAnsi" w:hAnsi="Times New Roman"/>
          <w:spacing w:val="-2"/>
        </w:rPr>
        <w:t>ej</w:t>
      </w:r>
      <w:r w:rsidRPr="00F14414">
        <w:rPr>
          <w:rFonts w:ascii="Times New Roman" w:eastAsiaTheme="minorHAnsi" w:hAnsi="Times New Roman"/>
          <w:spacing w:val="-2"/>
        </w:rPr>
        <w:t xml:space="preserve"> w art. 233 § 1 ustawy</w:t>
      </w:r>
      <w:r w:rsidRPr="001938CC">
        <w:rPr>
          <w:rFonts w:ascii="Times New Roman" w:eastAsiaTheme="minorHAnsi" w:hAnsi="Times New Roman"/>
          <w:spacing w:val="-2"/>
        </w:rPr>
        <w:t xml:space="preserve"> z dnia 6 czerwca 1997 r. </w:t>
      </w:r>
      <w:r w:rsidRPr="001938CC">
        <w:rPr>
          <w:rFonts w:ascii="Times New Roman" w:eastAsiaTheme="minorHAnsi" w:hAnsi="Times New Roman"/>
          <w:i/>
          <w:spacing w:val="-2"/>
        </w:rPr>
        <w:t>Kodeks karny</w:t>
      </w:r>
      <w:r w:rsidRPr="001938CC">
        <w:rPr>
          <w:rFonts w:ascii="Times New Roman" w:eastAsiaTheme="minorHAnsi" w:hAnsi="Times New Roman"/>
          <w:iCs/>
          <w:vertAlign w:val="superscript"/>
        </w:rPr>
        <w:footnoteReference w:id="17"/>
      </w:r>
      <w:r w:rsidRPr="001938CC">
        <w:rPr>
          <w:rFonts w:ascii="Times New Roman" w:eastAsiaTheme="minorHAnsi" w:hAnsi="Times New Roman"/>
          <w:spacing w:val="-2"/>
        </w:rPr>
        <w:t>. Czyn ten zagrożony jest karą pozbawienia wolności do lat 3.</w:t>
      </w:r>
    </w:p>
    <w:p w14:paraId="1B6F2518" w14:textId="248BB249" w:rsidR="001938CC" w:rsidRPr="00F14414" w:rsidRDefault="001938CC">
      <w:pPr>
        <w:autoSpaceDE w:val="0"/>
        <w:autoSpaceDN w:val="0"/>
        <w:adjustRightInd w:val="0"/>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W ust. 4</w:t>
      </w:r>
      <w:r w:rsidR="00F14414">
        <w:rPr>
          <w:rFonts w:ascii="Times New Roman" w:eastAsiaTheme="minorHAnsi" w:hAnsi="Times New Roman"/>
          <w:spacing w:val="-2"/>
        </w:rPr>
        <w:t>–</w:t>
      </w:r>
      <w:r w:rsidRPr="00F14414">
        <w:rPr>
          <w:rFonts w:ascii="Times New Roman" w:eastAsiaTheme="minorHAnsi" w:hAnsi="Times New Roman"/>
          <w:spacing w:val="-2"/>
        </w:rPr>
        <w:t xml:space="preserve">11 wprowadzono przepisy porządkowe i sankcje dla kandydatów, którzy będą naruszali zasady przeprowadzania egzaminów państwowych oraz wprowadzono przepisy regulujące kwestie </w:t>
      </w:r>
      <w:proofErr w:type="spellStart"/>
      <w:r w:rsidRPr="00F14414">
        <w:rPr>
          <w:rFonts w:ascii="Times New Roman" w:eastAsiaTheme="minorHAnsi" w:hAnsi="Times New Roman"/>
          <w:spacing w:val="-2"/>
        </w:rPr>
        <w:t>odwołań</w:t>
      </w:r>
      <w:proofErr w:type="spellEnd"/>
      <w:r w:rsidRPr="00F14414">
        <w:rPr>
          <w:rFonts w:ascii="Times New Roman" w:eastAsiaTheme="minorHAnsi" w:hAnsi="Times New Roman"/>
          <w:spacing w:val="-2"/>
        </w:rPr>
        <w:t xml:space="preserve"> do Komisji Egzaminacyjnej od decyzji składu egzaminacyjnego oraz od wyniku egzaminu państwowego.</w:t>
      </w:r>
    </w:p>
    <w:p w14:paraId="11EED447" w14:textId="6A14E525" w:rsidR="001938CC" w:rsidRPr="00F14414" w:rsidRDefault="001938CC">
      <w:pPr>
        <w:autoSpaceDE w:val="0"/>
        <w:autoSpaceDN w:val="0"/>
        <w:adjustRightInd w:val="0"/>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I tak, w ust. 4 określono, że przewodniczący lub członek składu egzaminacyjnego będzie mógł wykluczyć z egzaminu państwowego kandydata, który podczas egzaminu korzystał z pomocy innej osoby, posiadał niedozwolone materiały lub urządzenia, pomagał pozostałym kandydatom lub w inny sposób zakłócał przebieg egzaminu. Wykluczenie z egzaminu państwowego będzie równoznaczne z uzyskaniem negatywnego wyniku egzaminu.</w:t>
      </w:r>
    </w:p>
    <w:p w14:paraId="12525102" w14:textId="77777777" w:rsidR="001938CC" w:rsidRPr="00F14414" w:rsidRDefault="001938CC">
      <w:pPr>
        <w:autoSpaceDE w:val="0"/>
        <w:autoSpaceDN w:val="0"/>
        <w:adjustRightInd w:val="0"/>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Zgodnie z projektowanymi przepisami, kolejne (drugie) wykluczenie z egzaminu państwowego z przyczyn, o których mowa w ust. 4, będzie powodowało niemożność przystąpienia do egzaminów państwowych w dwóch kolejnych terminach (ust. 5).</w:t>
      </w:r>
    </w:p>
    <w:p w14:paraId="7AFA6974" w14:textId="77777777" w:rsidR="001938CC" w:rsidRPr="00F14414" w:rsidRDefault="001938CC">
      <w:pPr>
        <w:autoSpaceDE w:val="0"/>
        <w:autoSpaceDN w:val="0"/>
        <w:adjustRightInd w:val="0"/>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W przypadkach, o których mowa w ust. 4 i 5, kandydatowi będzie przysługiwało prawo wniesienia pisemnego odwołania do Komisji Egzaminacyjnej (ust. 6). A w przypadku uznania odwołania kandydat będzie miał prawo przystąpić do egzaminu państwowego w kolejnym terminie bez konieczności uiszczania opłaty egzaminacyjnej (ust. 7).</w:t>
      </w:r>
    </w:p>
    <w:p w14:paraId="73AC7C07" w14:textId="77777777" w:rsidR="001938CC" w:rsidRPr="00F14414" w:rsidRDefault="001938CC">
      <w:pPr>
        <w:autoSpaceDE w:val="0"/>
        <w:autoSpaceDN w:val="0"/>
        <w:adjustRightInd w:val="0"/>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lastRenderedPageBreak/>
        <w:t>Od wyniku egzaminu państwowego kandydatowi będzie przysługiwało prawo wglądu do sprawdzonego i ocenionego zestawu egzaminacyjnego, w tym prawo do sporządzania notatek i wykonania fotografii zestawu egzaminacyjnego na potrzeby odwołania (ust. 8). Zgodnie z ust. 9 w termie 7 dni od dnia wglądu kandydat będzie miał prawo do wniesienia pisemnego odwołania od wyniku egzaminu. Odwołanie o wyniku egzaminu oraz odwołanie od wykluczenia z egzaminu, o którym mowa w ust. 6 będzie podlegało rozpatrzeniu przez Komisję Egzaminacyjną w terminie 14 dni od dnia wniesienia odwołania (ust. 10).</w:t>
      </w:r>
    </w:p>
    <w:p w14:paraId="3B1F002B" w14:textId="77777777" w:rsidR="001938CC" w:rsidRPr="00F14414" w:rsidRDefault="001938CC">
      <w:pPr>
        <w:autoSpaceDE w:val="0"/>
        <w:autoSpaceDN w:val="0"/>
        <w:adjustRightInd w:val="0"/>
        <w:spacing w:before="120" w:after="120" w:line="276" w:lineRule="auto"/>
        <w:jc w:val="both"/>
        <w:rPr>
          <w:rFonts w:ascii="Times New Roman" w:eastAsiaTheme="minorHAnsi" w:hAnsi="Times New Roman"/>
        </w:rPr>
      </w:pPr>
      <w:r w:rsidRPr="00F14414">
        <w:rPr>
          <w:rFonts w:ascii="Times New Roman" w:eastAsiaTheme="minorHAnsi" w:hAnsi="Times New Roman"/>
          <w:spacing w:val="-2"/>
        </w:rPr>
        <w:t>W ust. 11 przewidziano uprawnienie dla Komisji Egzaminacyjnej do unieważnienia egzaminu państwowego – w przypadku stwierdzenia nieprawidłowości co do przebiegu egzaminu państwowego. W przypadku unieważnienia egzaminu przez Komisję Egzaminacyjną, egzamin jest powtarzany, a wniesiona uprzednio przez kandydatów opłata egzaminacyjna będzie podlegała zaliczeniu na poczet opłaty za kolejny egzamin państwowy.</w:t>
      </w:r>
    </w:p>
    <w:p w14:paraId="2F56538E" w14:textId="77777777"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d) art. 286d</w:t>
      </w:r>
    </w:p>
    <w:p w14:paraId="1DD03193" w14:textId="53BA33C1" w:rsidR="001938CC" w:rsidRPr="00F14414" w:rsidRDefault="001938CC">
      <w:pPr>
        <w:autoSpaceDE w:val="0"/>
        <w:autoSpaceDN w:val="0"/>
        <w:adjustRightInd w:val="0"/>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 xml:space="preserve">Do egzaminu państwowego będzie mogła być dopuszczona osoba, która spełnia warunki, o których mowa w art. 286 ust. 1 </w:t>
      </w:r>
      <w:r w:rsidR="00F14414" w:rsidRPr="00F14414">
        <w:rPr>
          <w:rFonts w:ascii="Times New Roman" w:eastAsiaTheme="minorHAnsi" w:hAnsi="Times New Roman"/>
          <w:spacing w:val="-2"/>
        </w:rPr>
        <w:t>pkt 1–</w:t>
      </w:r>
      <w:r w:rsidRPr="00F14414">
        <w:rPr>
          <w:rFonts w:ascii="Times New Roman" w:eastAsiaTheme="minorHAnsi" w:hAnsi="Times New Roman"/>
          <w:spacing w:val="-2"/>
        </w:rPr>
        <w:t>4 (ust. 1). Na potwierdzenie zdolności do czynności prawnych, korzystania z pełni praw publicznych oraz niekaralności za umyślne przestępstwo lub umyślne przestępstwo skarbowe kandydat będzie składał oświadczenia (ust. 2).</w:t>
      </w:r>
    </w:p>
    <w:p w14:paraId="570A96B6" w14:textId="3EA7B35A" w:rsidR="001938CC" w:rsidRPr="00F14414" w:rsidRDefault="001938CC">
      <w:pPr>
        <w:autoSpaceDE w:val="0"/>
        <w:autoSpaceDN w:val="0"/>
        <w:adjustRightInd w:val="0"/>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W ust. 3 wskazano, że za egzamin państwowy będzie pobierana opłata, która stanowi dochód budżetu państwa. W ust. 4 wskazano maksymalną wysokość opłaty egzaminacyjnej, która może wynosić nie więcej niż równowartość 1</w:t>
      </w:r>
      <w:r w:rsidR="002B68E4" w:rsidRPr="00F14414">
        <w:rPr>
          <w:rFonts w:ascii="Times New Roman" w:eastAsiaTheme="minorHAnsi" w:hAnsi="Times New Roman"/>
          <w:spacing w:val="-2"/>
        </w:rPr>
        <w:t>5</w:t>
      </w:r>
      <w:r w:rsidRPr="00F14414">
        <w:rPr>
          <w:rFonts w:ascii="Times New Roman" w:eastAsiaTheme="minorHAnsi" w:hAnsi="Times New Roman"/>
          <w:spacing w:val="-2"/>
        </w:rPr>
        <w:t>% przeciętnego wynagrodzenia w gospodarce narodowej, ogłoszonego przez Prezesa Głównego Urzędu Statystycznego za poprzedni rok kalendarzowy. Ostateczna wysokość tej opłaty zostanie ustalona w rozporządzeniu Ministra Finansów – po uwzględnieniu kosztów przeprowadzania egzaminów oraz wydatków związanych z funkcjonowaniem Komisji Egzaminacyjnej (ust. 7).</w:t>
      </w:r>
    </w:p>
    <w:p w14:paraId="4C44BACE" w14:textId="77777777" w:rsidR="001938CC" w:rsidRPr="00F14414" w:rsidRDefault="001938CC">
      <w:pPr>
        <w:autoSpaceDE w:val="0"/>
        <w:autoSpaceDN w:val="0"/>
        <w:adjustRightInd w:val="0"/>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Natomiast w ust. 5 wskazano, że jeżeli kandydat z usprawiedliwionej przyczyny nie przystąpił do egzaminu państwowego, wniesiona opłata egzaminacyjna będzie mogła podlegać zaliczeniu na poczet egzaminu państwowego przeprowadzanego w terminie późniejszym albo zwrotowi.</w:t>
      </w:r>
    </w:p>
    <w:p w14:paraId="03BF3FE4" w14:textId="77777777" w:rsidR="001938CC" w:rsidRPr="00F14414" w:rsidRDefault="001938CC">
      <w:pPr>
        <w:autoSpaceDE w:val="0"/>
        <w:autoSpaceDN w:val="0"/>
        <w:adjustRightInd w:val="0"/>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Minister Finansów określi – w drodze rozporządzenia (ust. 6):</w:t>
      </w:r>
    </w:p>
    <w:p w14:paraId="5B02B324" w14:textId="77777777" w:rsidR="001938CC" w:rsidRPr="001938CC" w:rsidRDefault="001938CC">
      <w:pPr>
        <w:numPr>
          <w:ilvl w:val="0"/>
          <w:numId w:val="15"/>
        </w:numPr>
        <w:spacing w:before="120" w:after="200" w:line="276" w:lineRule="auto"/>
        <w:contextualSpacing/>
        <w:jc w:val="both"/>
        <w:rPr>
          <w:rFonts w:ascii="Times New Roman" w:eastAsiaTheme="minorHAnsi" w:hAnsi="Times New Roman"/>
        </w:rPr>
      </w:pPr>
      <w:r w:rsidRPr="001938CC">
        <w:rPr>
          <w:rFonts w:ascii="Times New Roman" w:eastAsiaTheme="minorHAnsi" w:hAnsi="Times New Roman"/>
        </w:rPr>
        <w:t>termin i sposób dokonywania zgłoszenia do egzaminu państwowego i wykaz dokumentów składanych przez kandydatów,</w:t>
      </w:r>
    </w:p>
    <w:p w14:paraId="119F5774" w14:textId="77777777" w:rsidR="001938CC" w:rsidRPr="001938CC" w:rsidRDefault="001938CC">
      <w:pPr>
        <w:numPr>
          <w:ilvl w:val="0"/>
          <w:numId w:val="15"/>
        </w:numPr>
        <w:spacing w:before="120" w:after="200" w:line="276" w:lineRule="auto"/>
        <w:contextualSpacing/>
        <w:jc w:val="both"/>
        <w:rPr>
          <w:rFonts w:ascii="Times New Roman" w:eastAsiaTheme="minorHAnsi" w:hAnsi="Times New Roman"/>
        </w:rPr>
      </w:pPr>
      <w:r w:rsidRPr="001938CC">
        <w:rPr>
          <w:rFonts w:ascii="Times New Roman" w:eastAsiaTheme="minorHAnsi" w:hAnsi="Times New Roman"/>
        </w:rPr>
        <w:t>termin i sposób wnoszenia opłaty egzaminacyjnej oraz sposób i tryb dokonywania zwrotu opłaty,</w:t>
      </w:r>
    </w:p>
    <w:p w14:paraId="28EABBC8" w14:textId="77777777" w:rsidR="001938CC" w:rsidRPr="001938CC" w:rsidRDefault="001938CC">
      <w:pPr>
        <w:numPr>
          <w:ilvl w:val="0"/>
          <w:numId w:val="15"/>
        </w:numPr>
        <w:spacing w:before="120" w:after="200" w:line="276" w:lineRule="auto"/>
        <w:contextualSpacing/>
        <w:jc w:val="both"/>
        <w:rPr>
          <w:rFonts w:ascii="Times New Roman" w:eastAsiaTheme="minorHAnsi" w:hAnsi="Times New Roman"/>
        </w:rPr>
      </w:pPr>
      <w:r w:rsidRPr="001938CC">
        <w:rPr>
          <w:rFonts w:ascii="Times New Roman" w:eastAsiaTheme="minorHAnsi" w:hAnsi="Times New Roman"/>
        </w:rPr>
        <w:t>tryb i sposób przeprowadzania egzaminów państwowych,</w:t>
      </w:r>
    </w:p>
    <w:p w14:paraId="5032BBCD" w14:textId="77777777" w:rsidR="001938CC" w:rsidRPr="001938CC" w:rsidRDefault="001938CC">
      <w:pPr>
        <w:numPr>
          <w:ilvl w:val="0"/>
          <w:numId w:val="15"/>
        </w:numPr>
        <w:spacing w:before="120" w:after="200" w:line="276" w:lineRule="auto"/>
        <w:contextualSpacing/>
        <w:jc w:val="both"/>
        <w:rPr>
          <w:rFonts w:ascii="Times New Roman" w:eastAsiaTheme="minorHAnsi" w:hAnsi="Times New Roman"/>
        </w:rPr>
      </w:pPr>
      <w:r w:rsidRPr="001938CC">
        <w:rPr>
          <w:rFonts w:ascii="Times New Roman" w:eastAsiaTheme="minorHAnsi" w:hAnsi="Times New Roman"/>
        </w:rPr>
        <w:t>tryb uzyskiwania przez kandydatów wglądu do zestawów egzaminacyjnych,</w:t>
      </w:r>
    </w:p>
    <w:p w14:paraId="455B80A3" w14:textId="429867A6" w:rsidR="001938CC" w:rsidRPr="00F14414" w:rsidRDefault="001938CC">
      <w:pPr>
        <w:numPr>
          <w:ilvl w:val="0"/>
          <w:numId w:val="15"/>
        </w:numPr>
        <w:spacing w:before="120" w:after="200" w:line="276" w:lineRule="auto"/>
        <w:contextualSpacing/>
        <w:jc w:val="both"/>
        <w:rPr>
          <w:rFonts w:ascii="Times New Roman" w:eastAsiaTheme="minorHAnsi" w:hAnsi="Times New Roman"/>
        </w:rPr>
      </w:pPr>
      <w:r w:rsidRPr="001938CC">
        <w:rPr>
          <w:rFonts w:ascii="Times New Roman" w:eastAsiaTheme="minorHAnsi" w:hAnsi="Times New Roman"/>
        </w:rPr>
        <w:t xml:space="preserve">tryb wnoszenia i rozpatrzenia </w:t>
      </w:r>
      <w:proofErr w:type="spellStart"/>
      <w:r w:rsidRPr="001938CC">
        <w:rPr>
          <w:rFonts w:ascii="Times New Roman" w:eastAsiaTheme="minorHAnsi" w:hAnsi="Times New Roman"/>
        </w:rPr>
        <w:t>odwołań</w:t>
      </w:r>
      <w:proofErr w:type="spellEnd"/>
      <w:r w:rsidRPr="001938CC">
        <w:rPr>
          <w:rFonts w:ascii="Times New Roman" w:eastAsiaTheme="minorHAnsi" w:hAnsi="Times New Roman"/>
        </w:rPr>
        <w:t xml:space="preserve">, </w:t>
      </w:r>
      <w:r w:rsidRPr="00F14414">
        <w:rPr>
          <w:rFonts w:ascii="Times New Roman" w:eastAsiaTheme="minorHAnsi" w:hAnsi="Times New Roman"/>
        </w:rPr>
        <w:t xml:space="preserve">o których mowa w art. 286c ust. 6, oraz od wyników egzaminów państwowych, o których mowa w art. 286c ust. </w:t>
      </w:r>
      <w:r w:rsidR="002B68E4" w:rsidRPr="00F14414">
        <w:rPr>
          <w:rFonts w:ascii="Times New Roman" w:eastAsiaTheme="minorHAnsi" w:hAnsi="Times New Roman"/>
        </w:rPr>
        <w:t>9</w:t>
      </w:r>
      <w:r w:rsidRPr="00F14414">
        <w:rPr>
          <w:rFonts w:ascii="Times New Roman" w:eastAsiaTheme="minorHAnsi" w:hAnsi="Times New Roman"/>
        </w:rPr>
        <w:t>,</w:t>
      </w:r>
    </w:p>
    <w:p w14:paraId="6262CCE6" w14:textId="77777777" w:rsidR="001938CC" w:rsidRPr="00F14414" w:rsidRDefault="001938CC">
      <w:pPr>
        <w:numPr>
          <w:ilvl w:val="0"/>
          <w:numId w:val="15"/>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wzór zaświadczenia o złożeniu egzaminu państwowego z wynikiem pozytywnym.</w:t>
      </w:r>
    </w:p>
    <w:p w14:paraId="035B6BAD" w14:textId="77777777" w:rsidR="001938CC" w:rsidRPr="00F14414" w:rsidRDefault="001938CC">
      <w:pPr>
        <w:spacing w:before="120" w:after="120" w:line="276" w:lineRule="auto"/>
        <w:jc w:val="both"/>
        <w:rPr>
          <w:rFonts w:ascii="Times New Roman" w:eastAsiaTheme="minorHAnsi" w:hAnsi="Times New Roman"/>
          <w:spacing w:val="-2"/>
        </w:rPr>
      </w:pPr>
      <w:r w:rsidRPr="00F14414">
        <w:rPr>
          <w:rFonts w:ascii="Times New Roman" w:eastAsiaTheme="minorHAnsi" w:hAnsi="Times New Roman"/>
          <w:spacing w:val="-2"/>
        </w:rPr>
        <w:t xml:space="preserve">Zgodnie z projektowanymi przepisami (ust. 8), Przewodniczący Komisji Egzaminacyjnej, w terminie 14 dni od rozpatrzenia </w:t>
      </w:r>
      <w:proofErr w:type="spellStart"/>
      <w:r w:rsidRPr="00F14414">
        <w:rPr>
          <w:rFonts w:ascii="Times New Roman" w:eastAsiaTheme="minorHAnsi" w:hAnsi="Times New Roman"/>
          <w:spacing w:val="-2"/>
        </w:rPr>
        <w:t>odwołań</w:t>
      </w:r>
      <w:proofErr w:type="spellEnd"/>
      <w:r w:rsidRPr="00F14414">
        <w:rPr>
          <w:rFonts w:ascii="Times New Roman" w:eastAsiaTheme="minorHAnsi" w:hAnsi="Times New Roman"/>
          <w:spacing w:val="-2"/>
        </w:rPr>
        <w:t>, o których mowa w art. 286c ust. 9, będzie zobowiązany do przekazania Ministrowi Finansów uchwały Komisji Egzaminacyjnej zawierającej wykaz osób, które złożyły egzamin państwowy</w:t>
      </w:r>
      <w:r w:rsidRPr="001938CC">
        <w:rPr>
          <w:rFonts w:ascii="Times New Roman" w:eastAsiaTheme="minorHAnsi" w:hAnsi="Times New Roman"/>
          <w:spacing w:val="-2"/>
        </w:rPr>
        <w:t xml:space="preserve"> z wynikiem pozytywnym. Minister </w:t>
      </w:r>
      <w:r w:rsidRPr="00F14414">
        <w:rPr>
          <w:rFonts w:ascii="Times New Roman" w:eastAsiaTheme="minorHAnsi" w:hAnsi="Times New Roman"/>
          <w:spacing w:val="-2"/>
        </w:rPr>
        <w:lastRenderedPageBreak/>
        <w:t>Finansów będzie natomiast zobowiązany do ogłoszenia w formie komunikatu w Dzienniku Urzędowym Ministra Finansów wykazu osób, które złożyły egzamin państwowy z wynikiem pozytywnym (ust. 9).</w:t>
      </w:r>
    </w:p>
    <w:p w14:paraId="5CF22EBC" w14:textId="77777777" w:rsidR="00CF175A" w:rsidRPr="00F14414" w:rsidRDefault="00CF175A">
      <w:pPr>
        <w:spacing w:before="120" w:after="120" w:line="276" w:lineRule="auto"/>
        <w:jc w:val="both"/>
        <w:rPr>
          <w:rFonts w:ascii="Times New Roman" w:eastAsiaTheme="minorHAnsi" w:hAnsi="Times New Roman"/>
          <w:spacing w:val="-2"/>
        </w:rPr>
      </w:pPr>
    </w:p>
    <w:p w14:paraId="653E7056" w14:textId="2BBB0790" w:rsidR="001938CC" w:rsidRPr="00F14414" w:rsidRDefault="001938CC">
      <w:pPr>
        <w:spacing w:before="120" w:after="120" w:line="276" w:lineRule="auto"/>
        <w:jc w:val="both"/>
        <w:rPr>
          <w:rFonts w:ascii="Times New Roman" w:eastAsiaTheme="minorHAnsi" w:hAnsi="Times New Roman"/>
          <w:b/>
        </w:rPr>
      </w:pPr>
      <w:r w:rsidRPr="00F14414">
        <w:rPr>
          <w:rFonts w:ascii="Times New Roman" w:eastAsiaTheme="minorHAnsi" w:hAnsi="Times New Roman"/>
          <w:b/>
        </w:rPr>
        <w:t>zmian</w:t>
      </w:r>
      <w:r w:rsidR="00F64C14" w:rsidRPr="00F14414">
        <w:rPr>
          <w:rFonts w:ascii="Times New Roman" w:eastAsiaTheme="minorHAnsi" w:hAnsi="Times New Roman"/>
          <w:b/>
        </w:rPr>
        <w:t>a</w:t>
      </w:r>
      <w:r w:rsidRPr="00F14414">
        <w:rPr>
          <w:rFonts w:ascii="Times New Roman" w:eastAsiaTheme="minorHAnsi" w:hAnsi="Times New Roman"/>
          <w:b/>
        </w:rPr>
        <w:t xml:space="preserve"> w art. 287</w:t>
      </w:r>
      <w:r w:rsidR="00F64C14" w:rsidRPr="00F14414">
        <w:rPr>
          <w:rFonts w:ascii="Times New Roman" w:eastAsiaTheme="minorHAnsi" w:hAnsi="Times New Roman"/>
          <w:b/>
        </w:rPr>
        <w:t xml:space="preserve"> ust. 1 i 2</w:t>
      </w:r>
      <w:r w:rsidR="002F5E9F" w:rsidRPr="00F14414">
        <w:rPr>
          <w:rFonts w:ascii="Times New Roman" w:eastAsiaTheme="minorHAnsi" w:hAnsi="Times New Roman"/>
          <w:b/>
        </w:rPr>
        <w:t xml:space="preserve"> </w:t>
      </w:r>
      <w:r w:rsidR="00F64C14" w:rsidRPr="00F14414">
        <w:rPr>
          <w:rFonts w:ascii="Times New Roman" w:eastAsiaTheme="minorHAnsi" w:hAnsi="Times New Roman"/>
          <w:b/>
        </w:rPr>
        <w:t>oraz zmiana w ust. 3</w:t>
      </w:r>
    </w:p>
    <w:p w14:paraId="27687EB1" w14:textId="51F7B76A" w:rsidR="001938CC" w:rsidRPr="00F14414" w:rsidRDefault="001938CC">
      <w:pPr>
        <w:autoSpaceDE w:val="0"/>
        <w:autoSpaceDN w:val="0"/>
        <w:adjustRightInd w:val="0"/>
        <w:spacing w:before="120" w:after="120" w:line="276" w:lineRule="auto"/>
        <w:jc w:val="both"/>
        <w:rPr>
          <w:rFonts w:ascii="Times New Roman" w:eastAsiaTheme="minorHAnsi" w:hAnsi="Times New Roman"/>
        </w:rPr>
      </w:pPr>
      <w:r w:rsidRPr="00F14414">
        <w:rPr>
          <w:rFonts w:ascii="Times New Roman" w:eastAsiaTheme="minorHAnsi" w:hAnsi="Times New Roman"/>
        </w:rPr>
        <w:t>W ust. 1 doprecyzowano, że przepisy dotyczące przeprowadzania audytu wewnętrznego w jednostce samorządu terytorialnego, w tym w jej jednostkach organizacyjnych odnoszą się również do usługodawcy, o którym mowa w art. 279 ust. 1. Natomiast zmiana w ust. 2 ma charakter porządkujący w odniesieniu do działań podejmowanych przez audytorów zatrudnionych w urzędzie obsługującym ministra, w miejsce dotychczasowego określenia „zatrudniony w ministerstwie”. Podobny charakter ma</w:t>
      </w:r>
      <w:r w:rsidR="008A06C9" w:rsidRPr="00F14414">
        <w:rPr>
          <w:rFonts w:ascii="Times New Roman" w:eastAsiaTheme="minorHAnsi" w:hAnsi="Times New Roman"/>
        </w:rPr>
        <w:t xml:space="preserve"> zmiana przepisu ust. 3.</w:t>
      </w:r>
    </w:p>
    <w:p w14:paraId="27444489" w14:textId="77777777" w:rsidR="00CF175A" w:rsidRPr="001938CC" w:rsidRDefault="00CF175A">
      <w:pPr>
        <w:autoSpaceDE w:val="0"/>
        <w:autoSpaceDN w:val="0"/>
        <w:adjustRightInd w:val="0"/>
        <w:spacing w:before="120" w:after="120" w:line="276" w:lineRule="auto"/>
        <w:jc w:val="both"/>
        <w:rPr>
          <w:rFonts w:ascii="Times New Roman" w:eastAsiaTheme="minorHAnsi" w:hAnsi="Times New Roman"/>
        </w:rPr>
      </w:pPr>
    </w:p>
    <w:p w14:paraId="1BCC64AA" w14:textId="75D3F6B5" w:rsidR="001938CC" w:rsidRPr="001938CC" w:rsidRDefault="00C15A16">
      <w:pPr>
        <w:spacing w:before="120" w:after="120" w:line="276" w:lineRule="auto"/>
        <w:jc w:val="both"/>
        <w:rPr>
          <w:rFonts w:ascii="Times New Roman" w:eastAsiaTheme="minorHAnsi" w:hAnsi="Times New Roman"/>
          <w:b/>
          <w:i/>
        </w:rPr>
      </w:pPr>
      <w:r>
        <w:rPr>
          <w:rFonts w:ascii="Times New Roman" w:eastAsiaTheme="minorHAnsi" w:hAnsi="Times New Roman"/>
          <w:b/>
          <w:i/>
        </w:rPr>
        <w:t>d</w:t>
      </w:r>
      <w:r w:rsidR="001938CC" w:rsidRPr="001938CC">
        <w:rPr>
          <w:rFonts w:ascii="Times New Roman" w:eastAsiaTheme="minorHAnsi" w:hAnsi="Times New Roman"/>
          <w:b/>
          <w:i/>
        </w:rPr>
        <w:t>odanie</w:t>
      </w:r>
      <w:r>
        <w:rPr>
          <w:rFonts w:ascii="Times New Roman" w:eastAsiaTheme="minorHAnsi" w:hAnsi="Times New Roman"/>
          <w:b/>
          <w:i/>
        </w:rPr>
        <w:t xml:space="preserve"> </w:t>
      </w:r>
      <w:r w:rsidR="001938CC" w:rsidRPr="001938CC">
        <w:rPr>
          <w:rFonts w:ascii="Times New Roman" w:eastAsiaTheme="minorHAnsi" w:hAnsi="Times New Roman"/>
          <w:b/>
          <w:i/>
        </w:rPr>
        <w:t>art. 287a</w:t>
      </w:r>
    </w:p>
    <w:p w14:paraId="7849C875" w14:textId="3823E44B" w:rsidR="001938CC" w:rsidRPr="00F14414" w:rsidRDefault="001938CC" w:rsidP="003F5984">
      <w:pPr>
        <w:spacing w:before="120" w:after="120" w:line="276" w:lineRule="auto"/>
        <w:jc w:val="both"/>
        <w:rPr>
          <w:rFonts w:ascii="Times New Roman" w:eastAsiaTheme="minorHAnsi" w:hAnsi="Times New Roman"/>
        </w:rPr>
      </w:pPr>
      <w:r w:rsidRPr="00F14414">
        <w:rPr>
          <w:rFonts w:ascii="Times New Roman" w:eastAsiaTheme="minorHAnsi" w:hAnsi="Times New Roman"/>
        </w:rPr>
        <w:t>Projektodawca proponuje dodanie nowego art. 287a, umożliwiającego przeprowadzanie audytu wewnętrznego koordynowanego na polecenie</w:t>
      </w:r>
      <w:r w:rsidR="007C0721" w:rsidRPr="00F14414">
        <w:rPr>
          <w:rFonts w:ascii="Times New Roman" w:eastAsiaTheme="minorHAnsi" w:hAnsi="Times New Roman"/>
        </w:rPr>
        <w:t xml:space="preserve"> </w:t>
      </w:r>
      <w:r w:rsidRPr="00F14414">
        <w:rPr>
          <w:rFonts w:ascii="Times New Roman" w:eastAsiaTheme="minorHAnsi" w:hAnsi="Times New Roman"/>
        </w:rPr>
        <w:t>ministra kierującego działem administracji rządowej – w jednostkach w dziale i urzędzie obsługującym ministra</w:t>
      </w:r>
      <w:r w:rsidR="007C0721" w:rsidRPr="00F14414">
        <w:rPr>
          <w:rFonts w:ascii="Times New Roman" w:eastAsiaTheme="minorHAnsi" w:hAnsi="Times New Roman"/>
        </w:rPr>
        <w:t>.</w:t>
      </w:r>
      <w:r w:rsidRPr="00F14414">
        <w:rPr>
          <w:rFonts w:ascii="Times New Roman" w:eastAsiaTheme="minorHAnsi" w:hAnsi="Times New Roman"/>
        </w:rPr>
        <w:t xml:space="preserve"> </w:t>
      </w:r>
    </w:p>
    <w:p w14:paraId="1E0E580F" w14:textId="339DCDBF" w:rsidR="001938CC" w:rsidRPr="00F14414" w:rsidRDefault="001938CC">
      <w:pPr>
        <w:spacing w:before="120" w:after="120" w:line="276" w:lineRule="auto"/>
        <w:jc w:val="both"/>
        <w:rPr>
          <w:rFonts w:ascii="Times New Roman" w:eastAsiaTheme="minorHAnsi" w:hAnsi="Times New Roman"/>
        </w:rPr>
      </w:pPr>
      <w:r w:rsidRPr="00F14414">
        <w:rPr>
          <w:rFonts w:ascii="Times New Roman" w:eastAsiaTheme="minorHAnsi" w:hAnsi="Times New Roman"/>
        </w:rPr>
        <w:t xml:space="preserve">Audyt wewnętrzny koordynowany stanie się dzięki temu narzędziem oceny stopnia osiągania celów oraz realizacji zadań w ww. jednostkach i będzie stanowić istotne wsparcie dla ministrów kierujących działami administracji rządowej. Rozwiązanie to pozwoli również realizować zadania audytowe w istotnych obszarach działalności w sposób spójny – we wszystkich jednostkach objętych audytem. Za opracowanie założeń, nadzór nad przeprowadzeniem oraz przedstawienie ministrowi wyników audytu wewnętrznego będzie odpowiadać kierownik komórki audytu wewnętrznego w urzędzie obsługującym ministra lub wskazany przez ministra kierownik komórki audytu wewnętrznego w dziale, zwany koordynatorem w dziale (ust. 2). </w:t>
      </w:r>
      <w:r w:rsidR="002B68E4" w:rsidRPr="00F14414">
        <w:rPr>
          <w:rFonts w:ascii="Times New Roman" w:eastAsiaTheme="minorHAnsi" w:hAnsi="Times New Roman"/>
        </w:rPr>
        <w:t>Kierownicy komórek au</w:t>
      </w:r>
      <w:r w:rsidR="005C1559" w:rsidRPr="00F14414">
        <w:rPr>
          <w:rFonts w:ascii="Times New Roman" w:eastAsiaTheme="minorHAnsi" w:hAnsi="Times New Roman"/>
        </w:rPr>
        <w:t>dytu wewnętrznego utworzonych w </w:t>
      </w:r>
      <w:r w:rsidR="002B68E4" w:rsidRPr="00F14414">
        <w:rPr>
          <w:rFonts w:ascii="Times New Roman" w:eastAsiaTheme="minorHAnsi" w:hAnsi="Times New Roman"/>
        </w:rPr>
        <w:t xml:space="preserve">jednostkach w dziale będą przeprowadzać audyt koordynowany zgodnie z opracowanymi założeniami oraz będą przekazywać koordynatorowi w dziale dokumenty i informacje niezbędne do udokumentowania wyników audytu wewnętrznego </w:t>
      </w:r>
      <w:r w:rsidRPr="00F14414">
        <w:rPr>
          <w:rFonts w:ascii="Times New Roman" w:eastAsiaTheme="minorHAnsi" w:hAnsi="Times New Roman"/>
        </w:rPr>
        <w:t>(ust. 3). Przepisy dotyczące audytu koordynowanego będą miały zastosowani</w:t>
      </w:r>
      <w:r w:rsidR="00CA3A11" w:rsidRPr="00F14414">
        <w:rPr>
          <w:rFonts w:ascii="Times New Roman" w:eastAsiaTheme="minorHAnsi" w:hAnsi="Times New Roman"/>
        </w:rPr>
        <w:t>e</w:t>
      </w:r>
      <w:r w:rsidRPr="00F14414">
        <w:rPr>
          <w:rFonts w:ascii="Times New Roman" w:eastAsiaTheme="minorHAnsi" w:hAnsi="Times New Roman"/>
        </w:rPr>
        <w:t xml:space="preserve"> również do usługodawcy, o którym mowa w art. 279 ust. 1 (ust. </w:t>
      </w:r>
      <w:r w:rsidR="007C0721" w:rsidRPr="00F14414">
        <w:rPr>
          <w:rFonts w:ascii="Times New Roman" w:eastAsiaTheme="minorHAnsi" w:hAnsi="Times New Roman"/>
        </w:rPr>
        <w:t>4</w:t>
      </w:r>
      <w:r w:rsidRPr="00F14414">
        <w:rPr>
          <w:rFonts w:ascii="Times New Roman" w:eastAsiaTheme="minorHAnsi" w:hAnsi="Times New Roman"/>
        </w:rPr>
        <w:t>).</w:t>
      </w:r>
    </w:p>
    <w:p w14:paraId="664C7488" w14:textId="77777777" w:rsidR="005C1559" w:rsidRPr="001938CC" w:rsidRDefault="005C1559">
      <w:pPr>
        <w:spacing w:before="120" w:after="120" w:line="276" w:lineRule="auto"/>
        <w:jc w:val="both"/>
        <w:rPr>
          <w:rFonts w:ascii="Times New Roman" w:eastAsiaTheme="minorHAnsi" w:hAnsi="Times New Roman"/>
        </w:rPr>
      </w:pPr>
    </w:p>
    <w:p w14:paraId="044BC3A8" w14:textId="24D78F38" w:rsid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w:t>
      </w:r>
      <w:r w:rsidR="00F64C14">
        <w:rPr>
          <w:rFonts w:ascii="Times New Roman" w:eastAsiaTheme="minorHAnsi" w:hAnsi="Times New Roman"/>
          <w:b/>
          <w:i/>
        </w:rPr>
        <w:t>a</w:t>
      </w:r>
      <w:r w:rsidRPr="001938CC">
        <w:rPr>
          <w:rFonts w:ascii="Times New Roman" w:eastAsiaTheme="minorHAnsi" w:hAnsi="Times New Roman"/>
          <w:b/>
          <w:i/>
        </w:rPr>
        <w:t xml:space="preserve"> art. 289</w:t>
      </w:r>
      <w:r w:rsidR="00F64C14">
        <w:rPr>
          <w:rFonts w:ascii="Times New Roman" w:eastAsiaTheme="minorHAnsi" w:hAnsi="Times New Roman"/>
          <w:b/>
          <w:i/>
        </w:rPr>
        <w:t xml:space="preserve"> </w:t>
      </w:r>
    </w:p>
    <w:p w14:paraId="275AFA5B" w14:textId="6DCC1E64" w:rsidR="00910698" w:rsidRPr="00C51AB0" w:rsidRDefault="00910698">
      <w:pPr>
        <w:spacing w:before="120" w:after="120" w:line="276" w:lineRule="auto"/>
        <w:jc w:val="both"/>
        <w:rPr>
          <w:rFonts w:ascii="Times New Roman" w:eastAsiaTheme="minorHAnsi" w:hAnsi="Times New Roman"/>
        </w:rPr>
      </w:pPr>
      <w:r w:rsidRPr="00910698">
        <w:rPr>
          <w:rFonts w:ascii="Times New Roman" w:eastAsiaTheme="minorHAnsi" w:hAnsi="Times New Roman"/>
        </w:rPr>
        <w:t>Projektodawca w odniesieniu do art. 289 proponuje zmianę jego brzmienia.</w:t>
      </w:r>
    </w:p>
    <w:p w14:paraId="699DABE4" w14:textId="77777777" w:rsidR="001938CC" w:rsidRPr="00F14414" w:rsidRDefault="001938CC">
      <w:pPr>
        <w:spacing w:before="120" w:after="120" w:line="276" w:lineRule="auto"/>
        <w:jc w:val="both"/>
        <w:rPr>
          <w:rFonts w:ascii="Times New Roman" w:eastAsia="Times New Roman" w:hAnsi="Times New Roman"/>
          <w:bCs/>
          <w:lang w:eastAsia="pl-PL"/>
        </w:rPr>
      </w:pPr>
      <w:r w:rsidRPr="001938CC">
        <w:rPr>
          <w:rFonts w:ascii="Times New Roman" w:eastAsia="Times New Roman" w:hAnsi="Times New Roman"/>
          <w:bCs/>
          <w:lang w:eastAsia="pl-PL"/>
        </w:rPr>
        <w:t>W celu zwiększenia efektywności i skuteczności audytu wewnętrznego w ministerstwie i jednostkach w dziale, a także dla zapewnienia komitetowi audytu realnego wpływu na działania służące wzmocnieniu audytu i realizacji celów</w:t>
      </w:r>
      <w:r w:rsidRPr="00F14414">
        <w:rPr>
          <w:rFonts w:ascii="Times New Roman" w:eastAsia="Times New Roman" w:hAnsi="Times New Roman"/>
          <w:bCs/>
          <w:lang w:eastAsia="pl-PL"/>
        </w:rPr>
        <w:t xml:space="preserve">, w art. 289 ust. 1 sformułowano następujące zadania komitetu audytu: </w:t>
      </w:r>
    </w:p>
    <w:p w14:paraId="60D83BF1" w14:textId="77777777" w:rsidR="001938CC" w:rsidRPr="00F14414" w:rsidRDefault="001938CC">
      <w:pPr>
        <w:numPr>
          <w:ilvl w:val="0"/>
          <w:numId w:val="17"/>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lastRenderedPageBreak/>
        <w:t>przedstawianie ministrowi opinii na temat projektów planu działalności, sprawozdania z wykonania planu działalności oraz oświadczenia o stanie kontroli zarządczej, o których mowa w art. 70,</w:t>
      </w:r>
    </w:p>
    <w:p w14:paraId="62807EE4" w14:textId="77777777" w:rsidR="001938CC" w:rsidRPr="00F14414" w:rsidRDefault="001938CC">
      <w:pPr>
        <w:numPr>
          <w:ilvl w:val="0"/>
          <w:numId w:val="17"/>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informowanie ministra o zidentyfikowanych przez komitet audytu istotnych ryzykach i słabościach kontroli zarządczej oraz proponowanie jej usprawnień,</w:t>
      </w:r>
    </w:p>
    <w:p w14:paraId="7690D1B5" w14:textId="77777777" w:rsidR="001938CC" w:rsidRPr="00F14414" w:rsidRDefault="001938CC">
      <w:pPr>
        <w:numPr>
          <w:ilvl w:val="0"/>
          <w:numId w:val="17"/>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wyznaczanie do dnia 15 listopada kierownikom komórek audytu wewnętrznego priorytetów do planów audytu wewnętrznego na rok następny,</w:t>
      </w:r>
    </w:p>
    <w:p w14:paraId="2CCA07A3" w14:textId="17C39621" w:rsidR="001938CC" w:rsidRPr="00F14414" w:rsidRDefault="001938CC">
      <w:pPr>
        <w:numPr>
          <w:ilvl w:val="0"/>
          <w:numId w:val="17"/>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przedstawianie ministrowi propozycji audytu koordynowanego, o którym mowa w art. 287a ust. 1,</w:t>
      </w:r>
    </w:p>
    <w:p w14:paraId="5D93CDDB" w14:textId="77777777" w:rsidR="001938CC" w:rsidRPr="00F14414" w:rsidRDefault="001938CC">
      <w:pPr>
        <w:numPr>
          <w:ilvl w:val="0"/>
          <w:numId w:val="17"/>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przegląd wyników audytu koordynowanego przeprowadzonego w zakresie zaproponowanym przez komitet audytu oraz przedstawienie ministrowi propozycji wykorzystania wyników tego audytu,</w:t>
      </w:r>
    </w:p>
    <w:p w14:paraId="0A4D3C01" w14:textId="77777777" w:rsidR="001938CC" w:rsidRPr="00F14414" w:rsidRDefault="001938CC">
      <w:pPr>
        <w:numPr>
          <w:ilvl w:val="0"/>
          <w:numId w:val="17"/>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przedstawianie ministrowi corocznie opinii na temat niezależności, skuteczności i efektywności audytu wewnętrznego, w tym w zakresie stosowania programu zapewnienia i poprawy jakości, o którym mowa w art. 277a,</w:t>
      </w:r>
    </w:p>
    <w:p w14:paraId="5003A5FD" w14:textId="77777777" w:rsidR="001938CC" w:rsidRPr="00F14414" w:rsidRDefault="001938CC">
      <w:pPr>
        <w:numPr>
          <w:ilvl w:val="0"/>
          <w:numId w:val="17"/>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wyrażanie zgody, o której mowa w art. 281 ust. 1 i 4,</w:t>
      </w:r>
    </w:p>
    <w:p w14:paraId="3703BA85" w14:textId="77777777" w:rsidR="001938CC" w:rsidRPr="00F14414" w:rsidRDefault="001938CC">
      <w:pPr>
        <w:numPr>
          <w:ilvl w:val="0"/>
          <w:numId w:val="17"/>
        </w:numPr>
        <w:spacing w:before="120" w:after="200" w:line="276" w:lineRule="auto"/>
        <w:contextualSpacing/>
        <w:jc w:val="both"/>
        <w:rPr>
          <w:rFonts w:ascii="Times New Roman" w:eastAsiaTheme="minorHAnsi" w:hAnsi="Times New Roman"/>
        </w:rPr>
      </w:pPr>
      <w:r w:rsidRPr="00F14414">
        <w:rPr>
          <w:rFonts w:ascii="Times New Roman" w:eastAsiaTheme="minorHAnsi" w:hAnsi="Times New Roman"/>
        </w:rPr>
        <w:t>realizowanie innych zadań w zakresie, o którym mowa w art. 288 ust. 4, z własnej inicjatywy lub na wniosek ministra kierującego działem.</w:t>
      </w:r>
    </w:p>
    <w:p w14:paraId="5A05BE70" w14:textId="77777777" w:rsidR="00C51AB0" w:rsidRPr="00F14414" w:rsidRDefault="00C51AB0" w:rsidP="00C51AB0">
      <w:pPr>
        <w:spacing w:before="120" w:after="200" w:line="276" w:lineRule="auto"/>
        <w:ind w:left="720"/>
        <w:contextualSpacing/>
        <w:jc w:val="both"/>
        <w:rPr>
          <w:rFonts w:ascii="Times New Roman" w:eastAsiaTheme="minorHAnsi" w:hAnsi="Times New Roman"/>
        </w:rPr>
      </w:pPr>
    </w:p>
    <w:p w14:paraId="25175177" w14:textId="7C9E2531" w:rsidR="001938CC" w:rsidRPr="00F14414" w:rsidRDefault="001938CC">
      <w:pPr>
        <w:spacing w:before="120" w:after="120" w:line="276" w:lineRule="auto"/>
        <w:jc w:val="both"/>
        <w:rPr>
          <w:rFonts w:ascii="Times New Roman" w:eastAsia="Times New Roman" w:hAnsi="Times New Roman"/>
          <w:bCs/>
          <w:lang w:eastAsia="pl-PL"/>
        </w:rPr>
      </w:pPr>
      <w:r w:rsidRPr="00F14414">
        <w:rPr>
          <w:rFonts w:ascii="Times New Roman" w:eastAsia="Times New Roman" w:hAnsi="Times New Roman"/>
          <w:bCs/>
          <w:lang w:eastAsia="pl-PL"/>
        </w:rPr>
        <w:t>W ust. 3 przewidziano wydanie przez Ministra Finansów rozporządzenia w sprawie wzoru i sposobu przekazania sprawozdania z realizacji zadań komitetu audytu, aby w ten sposób zapewnić spójność i jednolitość informacji przekazywanych przez komitety audytu</w:t>
      </w:r>
      <w:r w:rsidR="00910698" w:rsidRPr="00F14414">
        <w:rPr>
          <w:rFonts w:ascii="Times New Roman" w:eastAsia="Times New Roman" w:hAnsi="Times New Roman"/>
          <w:bCs/>
          <w:lang w:eastAsia="pl-PL"/>
        </w:rPr>
        <w:t>, w związku z realizacją zadań, o których mowa w art. 292.</w:t>
      </w:r>
    </w:p>
    <w:p w14:paraId="01060C3F" w14:textId="77777777" w:rsidR="00CF175A" w:rsidRPr="001938CC" w:rsidRDefault="00CF175A">
      <w:pPr>
        <w:spacing w:before="120" w:after="120" w:line="276" w:lineRule="auto"/>
        <w:jc w:val="both"/>
        <w:rPr>
          <w:rFonts w:ascii="Times New Roman" w:eastAsia="Times New Roman" w:hAnsi="Times New Roman"/>
          <w:bCs/>
          <w:lang w:eastAsia="pl-PL"/>
        </w:rPr>
      </w:pPr>
    </w:p>
    <w:p w14:paraId="0A9D1135" w14:textId="7DD03D4C"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w:t>
      </w:r>
      <w:r w:rsidR="00F64C14">
        <w:rPr>
          <w:rFonts w:ascii="Times New Roman" w:eastAsiaTheme="minorHAnsi" w:hAnsi="Times New Roman"/>
          <w:b/>
          <w:i/>
        </w:rPr>
        <w:t>a</w:t>
      </w:r>
      <w:r w:rsidRPr="001938CC">
        <w:rPr>
          <w:rFonts w:ascii="Times New Roman" w:eastAsiaTheme="minorHAnsi" w:hAnsi="Times New Roman"/>
          <w:b/>
          <w:i/>
        </w:rPr>
        <w:t xml:space="preserve"> w art. 290</w:t>
      </w:r>
      <w:r w:rsidR="00F64C14">
        <w:rPr>
          <w:rFonts w:ascii="Times New Roman" w:eastAsiaTheme="minorHAnsi" w:hAnsi="Times New Roman"/>
          <w:b/>
          <w:i/>
        </w:rPr>
        <w:t xml:space="preserve"> ust. 1 pkt 2, dodanie ust. 1a oraz zmiana ust. 3 i 4</w:t>
      </w:r>
    </w:p>
    <w:p w14:paraId="46A9E2F7" w14:textId="201C222A" w:rsidR="001938CC" w:rsidRPr="00F14414" w:rsidRDefault="001938CC">
      <w:pPr>
        <w:spacing w:before="120" w:after="120" w:line="276" w:lineRule="auto"/>
        <w:jc w:val="both"/>
        <w:rPr>
          <w:rFonts w:ascii="Times New Roman" w:eastAsia="Times New Roman" w:hAnsi="Times New Roman"/>
          <w:bCs/>
          <w:lang w:eastAsia="pl-PL"/>
        </w:rPr>
      </w:pPr>
      <w:r w:rsidRPr="00F14414">
        <w:rPr>
          <w:rFonts w:ascii="Times New Roman" w:eastAsia="Times New Roman" w:hAnsi="Times New Roman"/>
          <w:bCs/>
          <w:lang w:eastAsia="pl-PL"/>
        </w:rPr>
        <w:t>W ust. 1a ustalono warunki wymagane dla członków niezależnych komitetu audytu, które dotychczas były określone w rozporządzeniu Ministra Finansów. Tak jak dotychczas rozporządzenie będzie regulowało natomiast sposób ustalania wynagrodzenia członków niezależnych (ust.</w:t>
      </w:r>
      <w:r w:rsidR="00F14414">
        <w:rPr>
          <w:rFonts w:ascii="Times New Roman" w:eastAsia="Times New Roman" w:hAnsi="Times New Roman"/>
          <w:bCs/>
          <w:lang w:eastAsia="pl-PL"/>
        </w:rPr>
        <w:t xml:space="preserve"> </w:t>
      </w:r>
      <w:r w:rsidR="00910698" w:rsidRPr="00F14414">
        <w:rPr>
          <w:rFonts w:ascii="Times New Roman" w:eastAsia="Times New Roman" w:hAnsi="Times New Roman"/>
          <w:bCs/>
          <w:lang w:eastAsia="pl-PL"/>
        </w:rPr>
        <w:t>4</w:t>
      </w:r>
      <w:r w:rsidRPr="00F14414">
        <w:rPr>
          <w:rFonts w:ascii="Times New Roman" w:eastAsia="Times New Roman" w:hAnsi="Times New Roman"/>
          <w:bCs/>
          <w:lang w:eastAsia="pl-PL"/>
        </w:rPr>
        <w:t>). W ust. 3 określono delegację dla ministra kierującego działem administracji rządowej do określenia (na wniosek przewodniczącego komitetu audytu), w drodze zarządzenia, organizacji, sposobu i trybu pracy komitetu audytu oraz zasady i tryb współpracy z komórkami organizacyjnymi urzędu obsługującego ministra oraz z jednostkami w dziale. Tym samym zrezygnowano z określenia, że musi to być regulamin, a także z delegacji dla Ministra Finansów, zgodnie z którą był on zobowiązany do określenia w rozporządzeniu wymogów, jakie powinien spełniać ww. regulamin. W przepisie tym została również możliwość wskazania przez ministra komórki audytu wewnętrznego w jednym z urzędów obsługujących ministra w przypadku powołania wspólnego komitetu dla kilku działów, którymi kieruje minister i więcej niż jedn</w:t>
      </w:r>
      <w:r w:rsidR="00CF175A" w:rsidRPr="00F14414">
        <w:rPr>
          <w:rFonts w:ascii="Times New Roman" w:eastAsia="Times New Roman" w:hAnsi="Times New Roman"/>
          <w:bCs/>
          <w:lang w:eastAsia="pl-PL"/>
        </w:rPr>
        <w:t>ego urzędu, który go obsługuje.</w:t>
      </w:r>
    </w:p>
    <w:p w14:paraId="4FAC5A25" w14:textId="77777777" w:rsidR="00CF175A" w:rsidRPr="00F14414" w:rsidRDefault="00CF175A">
      <w:pPr>
        <w:spacing w:before="120" w:after="120" w:line="276" w:lineRule="auto"/>
        <w:jc w:val="both"/>
        <w:rPr>
          <w:rFonts w:ascii="Times New Roman" w:eastAsia="Times New Roman" w:hAnsi="Times New Roman"/>
          <w:bCs/>
          <w:lang w:eastAsia="pl-PL"/>
        </w:rPr>
      </w:pPr>
    </w:p>
    <w:p w14:paraId="220B2465" w14:textId="77777777" w:rsidR="00CF175A" w:rsidRPr="00F14414" w:rsidRDefault="00CF175A">
      <w:pPr>
        <w:spacing w:before="120" w:after="120" w:line="276" w:lineRule="auto"/>
        <w:jc w:val="both"/>
        <w:rPr>
          <w:rFonts w:ascii="Times New Roman" w:eastAsia="Times New Roman" w:hAnsi="Times New Roman"/>
          <w:bCs/>
          <w:lang w:eastAsia="pl-PL"/>
        </w:rPr>
      </w:pPr>
    </w:p>
    <w:p w14:paraId="60108382" w14:textId="77777777" w:rsidR="00CF175A" w:rsidRPr="001938CC" w:rsidRDefault="00CF175A">
      <w:pPr>
        <w:spacing w:before="120" w:after="120" w:line="276" w:lineRule="auto"/>
        <w:jc w:val="both"/>
        <w:rPr>
          <w:rFonts w:ascii="Times New Roman" w:eastAsia="Times New Roman" w:hAnsi="Times New Roman"/>
          <w:bCs/>
          <w:lang w:eastAsia="pl-PL"/>
        </w:rPr>
      </w:pPr>
    </w:p>
    <w:p w14:paraId="7E74E6DB" w14:textId="38CC9342"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lastRenderedPageBreak/>
        <w:t>zmian</w:t>
      </w:r>
      <w:r w:rsidR="00F64C14">
        <w:rPr>
          <w:rFonts w:ascii="Times New Roman" w:eastAsiaTheme="minorHAnsi" w:hAnsi="Times New Roman"/>
          <w:b/>
          <w:i/>
        </w:rPr>
        <w:t>a</w:t>
      </w:r>
      <w:r w:rsidRPr="001938CC">
        <w:rPr>
          <w:rFonts w:ascii="Times New Roman" w:eastAsiaTheme="minorHAnsi" w:hAnsi="Times New Roman"/>
          <w:b/>
          <w:i/>
        </w:rPr>
        <w:t xml:space="preserve"> w art. 291</w:t>
      </w:r>
      <w:r w:rsidR="00F64C14">
        <w:rPr>
          <w:rFonts w:ascii="Times New Roman" w:eastAsiaTheme="minorHAnsi" w:hAnsi="Times New Roman"/>
          <w:b/>
          <w:i/>
        </w:rPr>
        <w:t xml:space="preserve"> ust. 1, dodanie pkt 1a i uchylenie pkt 2, zmiana ust. 2 i dodanie ust. 3</w:t>
      </w:r>
    </w:p>
    <w:p w14:paraId="398B1223" w14:textId="60AA97CF" w:rsidR="002C33F7" w:rsidRPr="00F14414" w:rsidRDefault="001938CC">
      <w:pPr>
        <w:spacing w:before="120" w:after="120" w:line="276" w:lineRule="auto"/>
        <w:jc w:val="both"/>
        <w:rPr>
          <w:rFonts w:ascii="Times New Roman" w:eastAsia="Times New Roman" w:hAnsi="Times New Roman"/>
          <w:bCs/>
          <w:lang w:eastAsia="pl-PL"/>
        </w:rPr>
      </w:pPr>
      <w:r w:rsidRPr="00F14414">
        <w:rPr>
          <w:rFonts w:ascii="Times New Roman" w:eastAsia="Times New Roman" w:hAnsi="Times New Roman"/>
          <w:bCs/>
          <w:lang w:eastAsia="pl-PL"/>
        </w:rPr>
        <w:t>W ust. 1 i 2 zostały określone zadania komórki audytu wewnętrznego w urzędzie obsługującym</w:t>
      </w:r>
      <w:r w:rsidRPr="001938CC">
        <w:rPr>
          <w:rFonts w:ascii="Times New Roman" w:eastAsia="Times New Roman" w:hAnsi="Times New Roman"/>
          <w:bCs/>
          <w:lang w:eastAsia="pl-PL"/>
        </w:rPr>
        <w:t xml:space="preserve"> ministra, w tym w szczególności w zakresie obsługi komitetu audytu. W zaproponowanym brzmieniu zadania te odnoszą </w:t>
      </w:r>
      <w:r w:rsidRPr="00F14414">
        <w:rPr>
          <w:rFonts w:ascii="Times New Roman" w:eastAsia="Times New Roman" w:hAnsi="Times New Roman"/>
          <w:bCs/>
          <w:lang w:eastAsia="pl-PL"/>
        </w:rPr>
        <w:t>się do komórki usytuowanej w urzędzie obsługującym ministra, a nie jak dotychczas – w ministerstwie. Wynika to z faktu, że niektórzy ministrowie kierujący działami administracji rządowej, a więc zgodnie z przepisami ustawy mający uprawnienia do powołania komitetu audytu, są usytuowani w ramach struktury innego urzędu (niekoniecznie ministerstwa), który ich obsługuje. W ust. 3 natomiast wskazano, że obowiązek przekazywania dokumentów i informacji niezbędnych do realizacji zadań realizowanych przez komórkę audytu wewnętrznego w urzędzie obsługującym ministra odnosi się także do usługodawcy, o którym mowa w art. 279 ust. 1.</w:t>
      </w:r>
    </w:p>
    <w:p w14:paraId="20800033" w14:textId="77777777" w:rsidR="00CF175A" w:rsidRPr="001938CC" w:rsidRDefault="00CF175A">
      <w:pPr>
        <w:spacing w:before="120" w:after="120" w:line="276" w:lineRule="auto"/>
        <w:jc w:val="both"/>
        <w:rPr>
          <w:rFonts w:ascii="Times New Roman" w:eastAsia="Times New Roman" w:hAnsi="Times New Roman"/>
          <w:bCs/>
          <w:lang w:eastAsia="pl-PL"/>
        </w:rPr>
      </w:pPr>
    </w:p>
    <w:p w14:paraId="7B097AF6" w14:textId="3059E937"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w:t>
      </w:r>
      <w:r w:rsidR="00F64C14">
        <w:rPr>
          <w:rFonts w:ascii="Times New Roman" w:eastAsiaTheme="minorHAnsi" w:hAnsi="Times New Roman"/>
          <w:b/>
          <w:i/>
        </w:rPr>
        <w:t>a</w:t>
      </w:r>
      <w:r w:rsidRPr="001938CC">
        <w:rPr>
          <w:rFonts w:ascii="Times New Roman" w:eastAsiaTheme="minorHAnsi" w:hAnsi="Times New Roman"/>
          <w:b/>
          <w:i/>
        </w:rPr>
        <w:t xml:space="preserve"> w art. 292</w:t>
      </w:r>
      <w:r w:rsidR="00F64C14">
        <w:rPr>
          <w:rFonts w:ascii="Times New Roman" w:eastAsiaTheme="minorHAnsi" w:hAnsi="Times New Roman"/>
          <w:b/>
          <w:i/>
        </w:rPr>
        <w:t xml:space="preserve"> ust. 1 pkt 1 i 3, ust. 2 pkt 2</w:t>
      </w:r>
      <w:r w:rsidR="00E40048" w:rsidRPr="00E40048">
        <w:t xml:space="preserve"> </w:t>
      </w:r>
      <w:r w:rsidR="00E40048" w:rsidRPr="00E40048">
        <w:rPr>
          <w:rFonts w:ascii="Times New Roman" w:eastAsiaTheme="minorHAnsi" w:hAnsi="Times New Roman"/>
          <w:b/>
          <w:i/>
        </w:rPr>
        <w:t>i dodanie ust. 3</w:t>
      </w:r>
    </w:p>
    <w:p w14:paraId="536E4927" w14:textId="77777777" w:rsidR="00E40048" w:rsidRPr="00F14414" w:rsidRDefault="001938CC">
      <w:pPr>
        <w:spacing w:before="120" w:after="120" w:line="276" w:lineRule="auto"/>
        <w:jc w:val="both"/>
        <w:rPr>
          <w:rFonts w:ascii="Times New Roman" w:eastAsia="Times New Roman" w:hAnsi="Times New Roman"/>
          <w:bCs/>
          <w:lang w:eastAsia="pl-PL"/>
        </w:rPr>
      </w:pPr>
      <w:r w:rsidRPr="00F14414">
        <w:rPr>
          <w:rFonts w:ascii="Times New Roman" w:eastAsia="Times New Roman" w:hAnsi="Times New Roman"/>
          <w:bCs/>
          <w:lang w:eastAsia="pl-PL"/>
        </w:rPr>
        <w:t>W zakresie zadań koordynacyjnych Ministra Finansów, określonych w ust. 1 pkt 2, proponowana zmiana dotyczy doprecyzowania zadania w zakresie przeprowadzania oceny prawidłowości prowadzenia audytu wewnętrznego (pkt 2), a także uzupełnienie działań koordynacyjnych o upowszechnianie kodeksu etyki (pkt 3).</w:t>
      </w:r>
    </w:p>
    <w:p w14:paraId="35BF241B" w14:textId="36B3820E" w:rsidR="001938CC" w:rsidRPr="00F14414" w:rsidRDefault="00E40048">
      <w:pPr>
        <w:spacing w:before="120" w:after="120" w:line="276" w:lineRule="auto"/>
        <w:jc w:val="both"/>
        <w:rPr>
          <w:rFonts w:ascii="Times New Roman" w:eastAsia="Times New Roman" w:hAnsi="Times New Roman"/>
          <w:bCs/>
          <w:lang w:eastAsia="pl-PL"/>
        </w:rPr>
      </w:pPr>
      <w:r w:rsidRPr="00F14414">
        <w:rPr>
          <w:rFonts w:ascii="Times New Roman" w:eastAsia="Times New Roman" w:hAnsi="Times New Roman"/>
          <w:bCs/>
          <w:lang w:eastAsia="pl-PL"/>
        </w:rPr>
        <w:t>Ponadto w ust. 3 wskazano możliwość wydawania przez Ministra Finansów wytycznych z zakresu audytu wewnętrznego w formie komunikatu i ogłaszania go w Dziennik</w:t>
      </w:r>
      <w:r w:rsidR="00CF175A" w:rsidRPr="00F14414">
        <w:rPr>
          <w:rFonts w:ascii="Times New Roman" w:eastAsia="Times New Roman" w:hAnsi="Times New Roman"/>
          <w:bCs/>
          <w:lang w:eastAsia="pl-PL"/>
        </w:rPr>
        <w:t>u Urzędowym Ministra Finansów.</w:t>
      </w:r>
    </w:p>
    <w:p w14:paraId="7C17C37D" w14:textId="77777777" w:rsidR="00CF175A" w:rsidRPr="001938CC" w:rsidRDefault="00CF175A">
      <w:pPr>
        <w:spacing w:before="120" w:after="120" w:line="276" w:lineRule="auto"/>
        <w:jc w:val="both"/>
        <w:rPr>
          <w:rFonts w:ascii="Times New Roman" w:eastAsia="Times New Roman" w:hAnsi="Times New Roman"/>
          <w:bCs/>
          <w:lang w:eastAsia="pl-PL"/>
        </w:rPr>
      </w:pPr>
    </w:p>
    <w:p w14:paraId="1EEE26FB" w14:textId="7E5830C3"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zmiana w art. 293</w:t>
      </w:r>
      <w:r w:rsidR="00F64C14">
        <w:rPr>
          <w:rFonts w:ascii="Times New Roman" w:eastAsiaTheme="minorHAnsi" w:hAnsi="Times New Roman"/>
          <w:b/>
          <w:i/>
        </w:rPr>
        <w:t xml:space="preserve"> ust. 1</w:t>
      </w:r>
    </w:p>
    <w:p w14:paraId="315A1E36" w14:textId="6755070A" w:rsidR="001938CC" w:rsidRPr="00F14414" w:rsidRDefault="001938CC">
      <w:pPr>
        <w:autoSpaceDE w:val="0"/>
        <w:autoSpaceDN w:val="0"/>
        <w:adjustRightInd w:val="0"/>
        <w:spacing w:before="120" w:after="120" w:line="276" w:lineRule="auto"/>
        <w:jc w:val="both"/>
        <w:rPr>
          <w:rFonts w:ascii="Times New Roman" w:eastAsiaTheme="minorHAnsi" w:hAnsi="Times New Roman"/>
          <w:color w:val="000000" w:themeColor="text1"/>
        </w:rPr>
      </w:pPr>
      <w:r w:rsidRPr="00F14414">
        <w:rPr>
          <w:rFonts w:ascii="Times New Roman" w:eastAsiaTheme="minorHAnsi" w:hAnsi="Times New Roman"/>
          <w:color w:val="000000" w:themeColor="text1"/>
        </w:rPr>
        <w:t>W ust. 1 wskazano, że możliwość przeprowadzenia audytu wewnętrznego na zlecenie Szefa Krajowej Administracji Skarbowej będzie dotyczyła jednostek, o których mowa w art. 274 ust. 1</w:t>
      </w:r>
      <w:r w:rsidR="00F14414">
        <w:rPr>
          <w:rFonts w:ascii="Times New Roman" w:eastAsiaTheme="minorHAnsi" w:hAnsi="Times New Roman"/>
          <w:color w:val="000000" w:themeColor="text1"/>
        </w:rPr>
        <w:t>–</w:t>
      </w:r>
      <w:r w:rsidRPr="00F14414">
        <w:rPr>
          <w:rFonts w:ascii="Times New Roman" w:eastAsiaTheme="minorHAnsi" w:hAnsi="Times New Roman"/>
          <w:color w:val="000000" w:themeColor="text1"/>
        </w:rPr>
        <w:t>6, czyli także jednostek wskazanych do prowadzenia audytu przez właściwego ministra kierującego działem, jak również jednostek podległych Prezesowi Rady Ministrów lub przez niego nadzorowanych oraz jednostek obsługujących organy podległe Prezesowi Rady Minist</w:t>
      </w:r>
      <w:r w:rsidR="00CF175A" w:rsidRPr="00F14414">
        <w:rPr>
          <w:rFonts w:ascii="Times New Roman" w:eastAsiaTheme="minorHAnsi" w:hAnsi="Times New Roman"/>
          <w:color w:val="000000" w:themeColor="text1"/>
        </w:rPr>
        <w:t>rów lub przez niego nadzorowane.</w:t>
      </w:r>
    </w:p>
    <w:p w14:paraId="1D6FE90D" w14:textId="77777777" w:rsidR="00CF175A" w:rsidRPr="001938CC" w:rsidRDefault="00CF175A">
      <w:pPr>
        <w:autoSpaceDE w:val="0"/>
        <w:autoSpaceDN w:val="0"/>
        <w:adjustRightInd w:val="0"/>
        <w:spacing w:before="120" w:after="120" w:line="276" w:lineRule="auto"/>
        <w:jc w:val="both"/>
        <w:rPr>
          <w:rFonts w:ascii="Times New Roman" w:eastAsiaTheme="minorHAnsi" w:hAnsi="Times New Roman"/>
          <w:color w:val="000000" w:themeColor="text1"/>
        </w:rPr>
      </w:pPr>
    </w:p>
    <w:p w14:paraId="6945D757" w14:textId="1853B02A"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t>zmiana w art. 294</w:t>
      </w:r>
      <w:r w:rsidR="00F64C14">
        <w:rPr>
          <w:rFonts w:ascii="Times New Roman" w:eastAsiaTheme="minorHAnsi" w:hAnsi="Times New Roman"/>
          <w:b/>
          <w:i/>
        </w:rPr>
        <w:t xml:space="preserve"> ust. 1</w:t>
      </w:r>
    </w:p>
    <w:p w14:paraId="3763255F" w14:textId="603823F9" w:rsidR="001938CC" w:rsidRPr="00F14414" w:rsidRDefault="001938CC">
      <w:pPr>
        <w:autoSpaceDE w:val="0"/>
        <w:autoSpaceDN w:val="0"/>
        <w:adjustRightInd w:val="0"/>
        <w:spacing w:before="120" w:after="120" w:line="276" w:lineRule="auto"/>
        <w:jc w:val="both"/>
        <w:rPr>
          <w:rFonts w:ascii="Times New Roman" w:eastAsiaTheme="minorHAnsi" w:hAnsi="Times New Roman"/>
          <w:color w:val="000000" w:themeColor="text1"/>
        </w:rPr>
      </w:pPr>
      <w:r w:rsidRPr="00F14414">
        <w:rPr>
          <w:rFonts w:ascii="Times New Roman" w:eastAsiaTheme="minorHAnsi" w:hAnsi="Times New Roman"/>
          <w:color w:val="000000" w:themeColor="text1"/>
        </w:rPr>
        <w:t xml:space="preserve">W ust. 1 wskazano, że ocena prawidłowości prowadzenia audytu wewnętrznego przeprowadzana na zlecenie Szefa Krajowej Administracji Skarbowej będzie mogła dotyczyć jednostek, o których mowa w </w:t>
      </w:r>
      <w:r w:rsidR="00F14414">
        <w:rPr>
          <w:rFonts w:ascii="Times New Roman" w:eastAsiaTheme="minorHAnsi" w:hAnsi="Times New Roman"/>
          <w:color w:val="000000" w:themeColor="text1"/>
        </w:rPr>
        <w:t>art. 274 ust. 1–</w:t>
      </w:r>
      <w:r w:rsidRPr="00F14414">
        <w:rPr>
          <w:rFonts w:ascii="Times New Roman" w:eastAsiaTheme="minorHAnsi" w:hAnsi="Times New Roman"/>
          <w:color w:val="000000" w:themeColor="text1"/>
        </w:rPr>
        <w:t>6, czyli także jednostek wskazanych do prowadzenia audytu przez właściwego ministra kierującego działem, jak również jednostek podległych Prezesowi Rady Ministrów lub przez niego nadzorowanych oraz jednostek obsługujących organy podległe Prezesowi Rady Ministrów lub przez niego nadzorowane.</w:t>
      </w:r>
    </w:p>
    <w:p w14:paraId="30CADFBB" w14:textId="77777777" w:rsidR="00CF175A" w:rsidRDefault="00CF175A">
      <w:pPr>
        <w:autoSpaceDE w:val="0"/>
        <w:autoSpaceDN w:val="0"/>
        <w:adjustRightInd w:val="0"/>
        <w:spacing w:before="120" w:after="120" w:line="276" w:lineRule="auto"/>
        <w:jc w:val="both"/>
        <w:rPr>
          <w:rFonts w:ascii="Times New Roman" w:eastAsiaTheme="minorHAnsi" w:hAnsi="Times New Roman"/>
          <w:color w:val="000000" w:themeColor="text1"/>
        </w:rPr>
      </w:pPr>
    </w:p>
    <w:p w14:paraId="71F5E8C4" w14:textId="77777777" w:rsidR="00CF175A" w:rsidRPr="001938CC" w:rsidRDefault="00CF175A">
      <w:pPr>
        <w:autoSpaceDE w:val="0"/>
        <w:autoSpaceDN w:val="0"/>
        <w:adjustRightInd w:val="0"/>
        <w:spacing w:before="120" w:after="120" w:line="276" w:lineRule="auto"/>
        <w:jc w:val="both"/>
        <w:rPr>
          <w:rFonts w:ascii="Times New Roman" w:eastAsiaTheme="minorHAnsi" w:hAnsi="Times New Roman"/>
          <w:i/>
          <w:color w:val="000000" w:themeColor="text1"/>
        </w:rPr>
      </w:pPr>
    </w:p>
    <w:p w14:paraId="719D79F0" w14:textId="1D3F1EA8" w:rsidR="001938CC" w:rsidRPr="001938CC" w:rsidRDefault="001938CC">
      <w:pPr>
        <w:spacing w:before="120" w:after="120" w:line="276" w:lineRule="auto"/>
        <w:jc w:val="both"/>
        <w:rPr>
          <w:rFonts w:ascii="Times New Roman" w:eastAsiaTheme="minorHAnsi" w:hAnsi="Times New Roman"/>
          <w:b/>
          <w:i/>
        </w:rPr>
      </w:pPr>
      <w:r w:rsidRPr="001938CC">
        <w:rPr>
          <w:rFonts w:ascii="Times New Roman" w:eastAsiaTheme="minorHAnsi" w:hAnsi="Times New Roman"/>
          <w:b/>
          <w:i/>
        </w:rPr>
        <w:lastRenderedPageBreak/>
        <w:t>zmian</w:t>
      </w:r>
      <w:r w:rsidR="00F64C14">
        <w:rPr>
          <w:rFonts w:ascii="Times New Roman" w:eastAsiaTheme="minorHAnsi" w:hAnsi="Times New Roman"/>
          <w:b/>
          <w:i/>
        </w:rPr>
        <w:t>a</w:t>
      </w:r>
      <w:r w:rsidRPr="001938CC">
        <w:rPr>
          <w:rFonts w:ascii="Times New Roman" w:eastAsiaTheme="minorHAnsi" w:hAnsi="Times New Roman"/>
          <w:b/>
          <w:i/>
        </w:rPr>
        <w:t xml:space="preserve"> w art. 295</w:t>
      </w:r>
      <w:r w:rsidR="00F64C14">
        <w:rPr>
          <w:rFonts w:ascii="Times New Roman" w:eastAsiaTheme="minorHAnsi" w:hAnsi="Times New Roman"/>
          <w:b/>
          <w:i/>
        </w:rPr>
        <w:t xml:space="preserve"> ust. 1, 2 i 3</w:t>
      </w:r>
    </w:p>
    <w:p w14:paraId="415BD084" w14:textId="79E299CC" w:rsidR="001938CC" w:rsidRPr="009B6D35" w:rsidRDefault="001938CC">
      <w:pPr>
        <w:spacing w:before="120" w:after="120" w:line="276" w:lineRule="auto"/>
        <w:jc w:val="both"/>
        <w:rPr>
          <w:rFonts w:ascii="Times New Roman" w:eastAsia="Times New Roman" w:hAnsi="Times New Roman"/>
          <w:bCs/>
          <w:lang w:eastAsia="pl-PL"/>
        </w:rPr>
      </w:pPr>
      <w:r w:rsidRPr="009B6D35">
        <w:rPr>
          <w:rFonts w:ascii="Times New Roman" w:eastAsia="Times New Roman" w:hAnsi="Times New Roman"/>
          <w:bCs/>
          <w:lang w:eastAsia="pl-PL"/>
        </w:rPr>
        <w:t>Zgodnie z ust. 1 kierownik jednostki, o której mowa w art. 274 ust. 1</w:t>
      </w:r>
      <w:r w:rsidR="009B6D35">
        <w:rPr>
          <w:rFonts w:ascii="Times New Roman" w:eastAsia="Times New Roman" w:hAnsi="Times New Roman"/>
          <w:bCs/>
          <w:lang w:eastAsia="pl-PL"/>
        </w:rPr>
        <w:t>–</w:t>
      </w:r>
      <w:r w:rsidRPr="009B6D35">
        <w:rPr>
          <w:rFonts w:ascii="Times New Roman" w:eastAsia="Times New Roman" w:hAnsi="Times New Roman"/>
          <w:bCs/>
          <w:lang w:eastAsia="pl-PL"/>
        </w:rPr>
        <w:t>6 będzie przedstawiał Ministrowi Finansów do końca stycznia każdego roku, informację o realizacji zadań z zakresu audytu wewnętrznego w roku poprzednim. W porównaniu do obecnych rozwiązań katalog jednostek (kierowników) objętych tą regulacją został rozszerzony o jednostki samorządu terytorialnego. Działanie to ma umożliwić zbieranie Ministrowi Finansów danych i informacji, które są niezbędne do realizacji pozostałych zadań koordynacyjnych, o których mowa w art. 294. Ze względu na objęcie przez Ministra Finansów dodatkowymi obowiązkami informacyjnymi jednostek samorządu</w:t>
      </w:r>
      <w:r w:rsidR="006E6596" w:rsidRPr="009B6D35">
        <w:rPr>
          <w:rFonts w:ascii="Times New Roman" w:eastAsia="Times New Roman" w:hAnsi="Times New Roman"/>
          <w:bCs/>
          <w:lang w:eastAsia="pl-PL"/>
        </w:rPr>
        <w:t xml:space="preserve"> terytorialnego</w:t>
      </w:r>
      <w:r w:rsidRPr="009B6D35">
        <w:rPr>
          <w:rFonts w:ascii="Times New Roman" w:eastAsia="Times New Roman" w:hAnsi="Times New Roman"/>
          <w:bCs/>
          <w:lang w:eastAsia="pl-PL"/>
        </w:rPr>
        <w:t xml:space="preserve">, projektowana nowelizacja zostanie przekazana do zaopiniowania również Komisji Wspólnej Rządu i Samorządu Terytorialnego. </w:t>
      </w:r>
    </w:p>
    <w:p w14:paraId="7A5B3A2E" w14:textId="77777777" w:rsidR="001938CC" w:rsidRPr="001938CC" w:rsidRDefault="001938CC">
      <w:pPr>
        <w:spacing w:before="120" w:after="120" w:line="276" w:lineRule="auto"/>
        <w:jc w:val="both"/>
        <w:rPr>
          <w:rFonts w:ascii="Times New Roman" w:eastAsia="Times New Roman" w:hAnsi="Times New Roman"/>
          <w:bCs/>
          <w:lang w:eastAsia="pl-PL"/>
        </w:rPr>
      </w:pPr>
      <w:r w:rsidRPr="001938CC">
        <w:rPr>
          <w:rFonts w:ascii="Times New Roman" w:eastAsia="Times New Roman" w:hAnsi="Times New Roman"/>
          <w:bCs/>
          <w:lang w:eastAsia="pl-PL"/>
        </w:rPr>
        <w:t>Objęcie jednostek samorządu terytorialnego obowiązkiem informacyjnym jest także realizacją wniosku Najwyższej Izby Kontroli sformułowanego w wynikach kontroli „</w:t>
      </w:r>
      <w:r w:rsidRPr="001938CC">
        <w:rPr>
          <w:rFonts w:ascii="Times New Roman" w:eastAsia="Times New Roman" w:hAnsi="Times New Roman"/>
          <w:bCs/>
          <w:i/>
          <w:lang w:eastAsia="pl-PL"/>
        </w:rPr>
        <w:t>Audyt wewnętrzny w jednostkach samorządu terytorialnego</w:t>
      </w:r>
      <w:r w:rsidRPr="001938CC">
        <w:rPr>
          <w:rFonts w:ascii="Times New Roman" w:eastAsia="Times New Roman" w:hAnsi="Times New Roman"/>
          <w:bCs/>
          <w:lang w:eastAsia="pl-PL"/>
        </w:rPr>
        <w:t>” w następującym brzmieniu: „</w:t>
      </w:r>
      <w:r w:rsidRPr="001938CC">
        <w:rPr>
          <w:rFonts w:ascii="Times New Roman" w:eastAsia="Times New Roman" w:hAnsi="Times New Roman"/>
          <w:bCs/>
          <w:i/>
          <w:lang w:eastAsia="pl-PL"/>
        </w:rPr>
        <w:t xml:space="preserve">Mając na uwadze wyniki przeprowadzonej kontroli, wskazujące na potrzebę poprawy efektywności funkcjonowania audytu wewnętrznego w jednostkach samorządu terytorialnego, Najwyższa Izba Kontroli wnosi o przygotowanie przez Ministra Finansów nowelizacji ustawy o finansach publicznych, polegającej na wprowadzeniu: rozwiązań uprawniających Ministra Finansów, w ramach koordynacji wykonywania audytu wewnętrznego w jednostkach sektora finansów publicznych, do uzyskiwania informacji o organizacji i prowadzeniu audytu w </w:t>
      </w:r>
      <w:proofErr w:type="spellStart"/>
      <w:r w:rsidRPr="001938CC">
        <w:rPr>
          <w:rFonts w:ascii="Times New Roman" w:eastAsia="Times New Roman" w:hAnsi="Times New Roman"/>
          <w:bCs/>
          <w:i/>
          <w:lang w:eastAsia="pl-PL"/>
        </w:rPr>
        <w:t>jst</w:t>
      </w:r>
      <w:proofErr w:type="spellEnd"/>
      <w:r w:rsidRPr="001938CC">
        <w:rPr>
          <w:rFonts w:ascii="Times New Roman" w:eastAsia="Times New Roman" w:hAnsi="Times New Roman"/>
          <w:bCs/>
          <w:i/>
          <w:lang w:eastAsia="pl-PL"/>
        </w:rPr>
        <w:t xml:space="preserve"> oraz do upowszechniania w oparciu o te informacje dobrych praktyk w działalności tych jednostek, a także wskazywania nieefektywnych rozwiązań dotyczących np. wykonywania audytu w wielu </w:t>
      </w:r>
      <w:proofErr w:type="spellStart"/>
      <w:r w:rsidRPr="001938CC">
        <w:rPr>
          <w:rFonts w:ascii="Times New Roman" w:eastAsia="Times New Roman" w:hAnsi="Times New Roman"/>
          <w:bCs/>
          <w:i/>
          <w:lang w:eastAsia="pl-PL"/>
        </w:rPr>
        <w:t>jst</w:t>
      </w:r>
      <w:proofErr w:type="spellEnd"/>
      <w:r w:rsidRPr="001938CC">
        <w:rPr>
          <w:rFonts w:ascii="Times New Roman" w:eastAsia="Times New Roman" w:hAnsi="Times New Roman"/>
          <w:bCs/>
          <w:i/>
          <w:lang w:eastAsia="pl-PL"/>
        </w:rPr>
        <w:t xml:space="preserve"> w ciągu roku przez audytora usługodawcę.</w:t>
      </w:r>
      <w:r w:rsidRPr="001938CC">
        <w:rPr>
          <w:rFonts w:ascii="Times New Roman" w:eastAsia="Times New Roman" w:hAnsi="Times New Roman"/>
          <w:bCs/>
          <w:lang w:eastAsia="pl-PL"/>
        </w:rPr>
        <w:t>”.</w:t>
      </w:r>
    </w:p>
    <w:p w14:paraId="4817395B" w14:textId="58AD08EE" w:rsidR="00EC4752" w:rsidRPr="009B6D35" w:rsidRDefault="001938CC">
      <w:pPr>
        <w:spacing w:before="120" w:after="120" w:line="276" w:lineRule="auto"/>
        <w:jc w:val="both"/>
        <w:rPr>
          <w:rFonts w:ascii="Times New Roman" w:eastAsia="Times New Roman" w:hAnsi="Times New Roman"/>
          <w:bCs/>
          <w:lang w:eastAsia="pl-PL"/>
        </w:rPr>
      </w:pPr>
      <w:r w:rsidRPr="009B6D35">
        <w:rPr>
          <w:rFonts w:ascii="Times New Roman" w:eastAsia="Times New Roman" w:hAnsi="Times New Roman"/>
          <w:bCs/>
          <w:lang w:eastAsia="pl-PL"/>
        </w:rPr>
        <w:t>Wzór oraz sposób przekazania informacji o realizacji zadań z zakresu audytu wewnętrznego w roku poprzednim zostaną określone przez Ministra Finansów w drodze rozporządzenia (ust. 3).</w:t>
      </w:r>
    </w:p>
    <w:p w14:paraId="01EF8D42" w14:textId="77777777" w:rsidR="00CF175A" w:rsidRPr="001938CC" w:rsidRDefault="00CF175A">
      <w:pPr>
        <w:spacing w:before="120" w:after="120" w:line="276" w:lineRule="auto"/>
        <w:jc w:val="both"/>
        <w:rPr>
          <w:rFonts w:ascii="Times New Roman" w:eastAsia="Times New Roman" w:hAnsi="Times New Roman"/>
          <w:bCs/>
          <w:lang w:eastAsia="pl-PL"/>
        </w:rPr>
      </w:pPr>
    </w:p>
    <w:p w14:paraId="4C3DE839" w14:textId="5767B03B" w:rsidR="00CB4517" w:rsidRDefault="00CB4517" w:rsidP="00713591">
      <w:pPr>
        <w:spacing w:line="276" w:lineRule="auto"/>
        <w:jc w:val="both"/>
        <w:rPr>
          <w:rFonts w:ascii="Times New Roman" w:eastAsia="Times New Roman" w:hAnsi="Times New Roman"/>
          <w:b/>
          <w:bCs/>
          <w:u w:val="single"/>
          <w:lang w:eastAsia="pl-PL"/>
        </w:rPr>
      </w:pPr>
      <w:r w:rsidRPr="008E5FB3">
        <w:rPr>
          <w:rFonts w:ascii="Times New Roman" w:eastAsia="Times New Roman" w:hAnsi="Times New Roman"/>
          <w:b/>
          <w:bCs/>
          <w:u w:val="single"/>
          <w:lang w:eastAsia="pl-PL"/>
        </w:rPr>
        <w:t>Pozostałe zmiany</w:t>
      </w:r>
      <w:r w:rsidR="006A393F">
        <w:rPr>
          <w:rFonts w:ascii="Times New Roman" w:eastAsia="Times New Roman" w:hAnsi="Times New Roman"/>
          <w:b/>
          <w:bCs/>
          <w:u w:val="single"/>
          <w:lang w:eastAsia="pl-PL"/>
        </w:rPr>
        <w:t xml:space="preserve"> w przepisach</w:t>
      </w:r>
    </w:p>
    <w:p w14:paraId="702548A3" w14:textId="77777777" w:rsidR="00CB4517" w:rsidRPr="008E5FB3" w:rsidRDefault="00CB4517" w:rsidP="00713591">
      <w:pPr>
        <w:spacing w:line="276" w:lineRule="auto"/>
        <w:jc w:val="both"/>
        <w:rPr>
          <w:rFonts w:ascii="Times New Roman" w:hAnsi="Times New Roman"/>
        </w:rPr>
      </w:pPr>
    </w:p>
    <w:p w14:paraId="3C255B89" w14:textId="093F5830" w:rsidR="00F720C3" w:rsidRDefault="00F720C3" w:rsidP="00713591">
      <w:pPr>
        <w:spacing w:line="276" w:lineRule="auto"/>
        <w:jc w:val="both"/>
        <w:rPr>
          <w:rFonts w:ascii="Times New Roman" w:hAnsi="Times New Roman"/>
          <w:b/>
          <w:i/>
        </w:rPr>
      </w:pPr>
      <w:r>
        <w:rPr>
          <w:rFonts w:ascii="Times New Roman" w:hAnsi="Times New Roman"/>
          <w:b/>
          <w:i/>
        </w:rPr>
        <w:t>zmiana w art. 11a ust. 1 pkt 6, art. 127 ust. 2 pkt 6, art. 138 ust. 6 pkt 4, art. 186 pkt 5</w:t>
      </w:r>
      <w:r w:rsidR="005A1B99">
        <w:rPr>
          <w:rFonts w:ascii="Times New Roman" w:hAnsi="Times New Roman"/>
          <w:b/>
          <w:i/>
        </w:rPr>
        <w:t>, art. 208 ust. 1</w:t>
      </w:r>
    </w:p>
    <w:p w14:paraId="52FB6084" w14:textId="77777777" w:rsidR="00F720C3" w:rsidRDefault="00F720C3" w:rsidP="00713591">
      <w:pPr>
        <w:spacing w:line="276" w:lineRule="auto"/>
        <w:jc w:val="both"/>
        <w:rPr>
          <w:rFonts w:ascii="Times New Roman" w:hAnsi="Times New Roman"/>
          <w:b/>
          <w:i/>
        </w:rPr>
      </w:pPr>
    </w:p>
    <w:p w14:paraId="2E6DB6C1" w14:textId="725D281E" w:rsidR="00F720C3" w:rsidRPr="00EA5A8C" w:rsidRDefault="00F720C3" w:rsidP="00713591">
      <w:pPr>
        <w:spacing w:line="276" w:lineRule="auto"/>
        <w:jc w:val="both"/>
        <w:rPr>
          <w:rFonts w:ascii="Times New Roman" w:hAnsi="Times New Roman"/>
        </w:rPr>
      </w:pPr>
      <w:r>
        <w:rPr>
          <w:rFonts w:ascii="Times New Roman" w:hAnsi="Times New Roman"/>
        </w:rPr>
        <w:t>Z</w:t>
      </w:r>
      <w:r w:rsidRPr="00EA5A8C">
        <w:rPr>
          <w:rFonts w:ascii="Times New Roman" w:hAnsi="Times New Roman"/>
        </w:rPr>
        <w:t xml:space="preserve">miana ma na celu ujednolicenie pisowni </w:t>
      </w:r>
      <w:r w:rsidR="00787570">
        <w:rPr>
          <w:rFonts w:ascii="Times New Roman" w:hAnsi="Times New Roman"/>
        </w:rPr>
        <w:t>sformułowania „</w:t>
      </w:r>
      <w:r w:rsidRPr="00EA5A8C">
        <w:rPr>
          <w:rFonts w:ascii="Times New Roman" w:hAnsi="Times New Roman"/>
        </w:rPr>
        <w:t>wspólnej polityki rolnej</w:t>
      </w:r>
      <w:r w:rsidR="00787570">
        <w:rPr>
          <w:rFonts w:ascii="Times New Roman" w:hAnsi="Times New Roman"/>
        </w:rPr>
        <w:t>”</w:t>
      </w:r>
      <w:r w:rsidRPr="00EA5A8C">
        <w:rPr>
          <w:rFonts w:ascii="Times New Roman" w:hAnsi="Times New Roman"/>
        </w:rPr>
        <w:t xml:space="preserve"> – małą literą.</w:t>
      </w:r>
    </w:p>
    <w:p w14:paraId="00355B42" w14:textId="77777777" w:rsidR="00F720C3" w:rsidRDefault="00F720C3" w:rsidP="00713591">
      <w:pPr>
        <w:spacing w:line="276" w:lineRule="auto"/>
        <w:jc w:val="both"/>
        <w:rPr>
          <w:rFonts w:ascii="Times New Roman" w:hAnsi="Times New Roman"/>
          <w:b/>
          <w:i/>
        </w:rPr>
      </w:pPr>
    </w:p>
    <w:p w14:paraId="6160939E" w14:textId="698ABF2B" w:rsidR="00CB4517" w:rsidRPr="008E5FB3" w:rsidRDefault="00CB4517" w:rsidP="00713591">
      <w:pPr>
        <w:spacing w:line="276" w:lineRule="auto"/>
        <w:jc w:val="both"/>
        <w:rPr>
          <w:rFonts w:ascii="Times New Roman" w:hAnsi="Times New Roman"/>
          <w:b/>
          <w:i/>
        </w:rPr>
      </w:pPr>
      <w:r w:rsidRPr="008E5FB3">
        <w:rPr>
          <w:rFonts w:ascii="Times New Roman" w:hAnsi="Times New Roman"/>
          <w:b/>
          <w:i/>
        </w:rPr>
        <w:t>zmian</w:t>
      </w:r>
      <w:r w:rsidR="00F64C14">
        <w:rPr>
          <w:rFonts w:ascii="Times New Roman" w:hAnsi="Times New Roman"/>
          <w:b/>
          <w:i/>
        </w:rPr>
        <w:t>a</w:t>
      </w:r>
      <w:r w:rsidRPr="008E5FB3">
        <w:rPr>
          <w:rFonts w:ascii="Times New Roman" w:hAnsi="Times New Roman"/>
          <w:b/>
          <w:i/>
        </w:rPr>
        <w:t xml:space="preserve"> w art. 21 </w:t>
      </w:r>
      <w:r w:rsidR="00F64C14">
        <w:rPr>
          <w:rFonts w:ascii="Times New Roman" w:hAnsi="Times New Roman"/>
          <w:b/>
          <w:i/>
        </w:rPr>
        <w:t>ust. 1, 4 i 5, dodanie ust. 5a</w:t>
      </w:r>
      <w:r w:rsidR="00D0613B">
        <w:rPr>
          <w:rFonts w:ascii="Times New Roman" w:hAnsi="Times New Roman"/>
          <w:b/>
          <w:i/>
        </w:rPr>
        <w:t xml:space="preserve"> i 5b</w:t>
      </w:r>
      <w:r w:rsidR="00F64C14">
        <w:rPr>
          <w:rFonts w:ascii="Times New Roman" w:hAnsi="Times New Roman"/>
          <w:b/>
          <w:i/>
        </w:rPr>
        <w:t>, zmiana ust. 6 i uchylenie ust. 9</w:t>
      </w:r>
    </w:p>
    <w:p w14:paraId="510BFEB9" w14:textId="77777777" w:rsidR="00CB4517" w:rsidRPr="008E5FB3" w:rsidRDefault="00CB4517" w:rsidP="00713591">
      <w:pPr>
        <w:spacing w:line="276" w:lineRule="auto"/>
        <w:jc w:val="both"/>
        <w:rPr>
          <w:rFonts w:ascii="Times New Roman" w:hAnsi="Times New Roman"/>
          <w:b/>
        </w:rPr>
      </w:pPr>
    </w:p>
    <w:p w14:paraId="5437CF61" w14:textId="0CD499C4" w:rsidR="00CB4517" w:rsidRPr="008E5FB3" w:rsidRDefault="00CB4517" w:rsidP="00713591">
      <w:pPr>
        <w:spacing w:line="276" w:lineRule="auto"/>
        <w:jc w:val="both"/>
        <w:rPr>
          <w:rFonts w:ascii="Times New Roman" w:hAnsi="Times New Roman"/>
        </w:rPr>
      </w:pPr>
      <w:r w:rsidRPr="008E5FB3">
        <w:rPr>
          <w:rFonts w:ascii="Times New Roman" w:hAnsi="Times New Roman"/>
        </w:rPr>
        <w:t>Zdecydowano o zmianie i doprecyzowaniu brzmienia wprowadzenia do wyliczenia w art. 21 w ust. 1 wskazując, że roczny plan finansowy będący podstawą gospodarki finansowej agencji wykonawczej obejmuje „w szczególności”</w:t>
      </w:r>
      <w:r w:rsidR="00713591">
        <w:rPr>
          <w:rFonts w:ascii="Times New Roman" w:hAnsi="Times New Roman"/>
        </w:rPr>
        <w:t xml:space="preserve"> wymienione pozycje</w:t>
      </w:r>
      <w:r w:rsidRPr="008E5FB3">
        <w:rPr>
          <w:rFonts w:ascii="Times New Roman" w:hAnsi="Times New Roman"/>
        </w:rPr>
        <w:t xml:space="preserve">. Przepis ma na celu wskazanie, że zawartość rocznego planu finansowego agencji nie stanowi katalogu zamkniętego – tj. plan może obejmować również inne pozycje niż wymienione w tym przepisie. </w:t>
      </w:r>
    </w:p>
    <w:p w14:paraId="7C1BA3B6" w14:textId="77777777" w:rsidR="00CB4517" w:rsidRPr="008E5FB3" w:rsidRDefault="00CB4517" w:rsidP="00713591">
      <w:pPr>
        <w:spacing w:line="276" w:lineRule="auto"/>
        <w:jc w:val="both"/>
        <w:rPr>
          <w:rFonts w:ascii="Times New Roman" w:hAnsi="Times New Roman"/>
        </w:rPr>
      </w:pPr>
    </w:p>
    <w:p w14:paraId="68456EAD" w14:textId="733015E8" w:rsidR="00CB4517" w:rsidRDefault="00CB4517" w:rsidP="00713591">
      <w:pPr>
        <w:spacing w:line="276" w:lineRule="auto"/>
        <w:jc w:val="both"/>
        <w:rPr>
          <w:rFonts w:ascii="Times New Roman" w:hAnsi="Times New Roman"/>
        </w:rPr>
      </w:pPr>
      <w:r w:rsidRPr="008E5FB3">
        <w:rPr>
          <w:rFonts w:ascii="Times New Roman" w:hAnsi="Times New Roman"/>
        </w:rPr>
        <w:lastRenderedPageBreak/>
        <w:t xml:space="preserve">Zdecydowano również o doprecyzowaniu zastosowanego w części wspólnej w art. 21 w ust. 1 w pkt 3 terminu „wynagrodzenia” i zaproponowano </w:t>
      </w:r>
      <w:r w:rsidR="007F3BD8">
        <w:rPr>
          <w:rFonts w:ascii="Times New Roman" w:hAnsi="Times New Roman"/>
        </w:rPr>
        <w:t>dodanie</w:t>
      </w:r>
      <w:r w:rsidR="007F3BD8" w:rsidRPr="008E5FB3">
        <w:rPr>
          <w:rFonts w:ascii="Times New Roman" w:hAnsi="Times New Roman"/>
        </w:rPr>
        <w:t xml:space="preserve"> </w:t>
      </w:r>
      <w:r w:rsidRPr="008E5FB3">
        <w:rPr>
          <w:rFonts w:ascii="Times New Roman" w:hAnsi="Times New Roman"/>
        </w:rPr>
        <w:t xml:space="preserve">sformułowania „na uposażenia i wynagrodzenia ze stosunku pracy”. </w:t>
      </w:r>
    </w:p>
    <w:p w14:paraId="73EC36D4" w14:textId="77777777" w:rsidR="005B0152" w:rsidRPr="008E5FB3" w:rsidRDefault="005B0152" w:rsidP="00713591">
      <w:pPr>
        <w:spacing w:line="276" w:lineRule="auto"/>
        <w:jc w:val="both"/>
        <w:rPr>
          <w:rFonts w:ascii="Times New Roman" w:hAnsi="Times New Roman"/>
        </w:rPr>
      </w:pPr>
    </w:p>
    <w:p w14:paraId="4AB3CEE5" w14:textId="0FDB7AD8" w:rsidR="00CB4517" w:rsidRPr="005B0152" w:rsidRDefault="00CB4517" w:rsidP="00713591">
      <w:pPr>
        <w:spacing w:line="276" w:lineRule="auto"/>
        <w:jc w:val="both"/>
        <w:rPr>
          <w:rFonts w:ascii="Times New Roman" w:hAnsi="Times New Roman"/>
        </w:rPr>
      </w:pPr>
      <w:r w:rsidRPr="005B0152">
        <w:rPr>
          <w:rFonts w:ascii="Times New Roman" w:hAnsi="Times New Roman"/>
        </w:rPr>
        <w:t>Art. 21 ust. 4 w zaproponowanym brzmieniu określa, że w planie dochodów i wydatków agencji wykonawczej planowane wydatki nie powinny być wyższe od planowanych dochodów. Za zgodą ministra sprawującego nadzór nad agencją wykonawczą (wydaną w porozumieniu z Ministrem Finansów) planowane wydatki mogą jednak przekraczać planowane dochody</w:t>
      </w:r>
      <w:r w:rsidR="005D7C5F" w:rsidRPr="005B0152">
        <w:rPr>
          <w:rFonts w:ascii="Times New Roman" w:hAnsi="Times New Roman"/>
        </w:rPr>
        <w:t>.</w:t>
      </w:r>
    </w:p>
    <w:p w14:paraId="6F14FE2E" w14:textId="77777777" w:rsidR="00CB4517" w:rsidRPr="005B0152" w:rsidRDefault="00CB4517" w:rsidP="00713591">
      <w:pPr>
        <w:spacing w:line="276" w:lineRule="auto"/>
        <w:jc w:val="both"/>
        <w:rPr>
          <w:rFonts w:ascii="Times New Roman" w:hAnsi="Times New Roman"/>
        </w:rPr>
      </w:pPr>
    </w:p>
    <w:p w14:paraId="1368267F" w14:textId="522C03D4" w:rsidR="00CB4517" w:rsidRPr="005B0152" w:rsidRDefault="00CB4517" w:rsidP="00713591">
      <w:pPr>
        <w:spacing w:line="276" w:lineRule="auto"/>
        <w:jc w:val="both"/>
        <w:rPr>
          <w:rFonts w:ascii="Times New Roman" w:hAnsi="Times New Roman"/>
        </w:rPr>
      </w:pPr>
      <w:r w:rsidRPr="005B0152">
        <w:rPr>
          <w:rFonts w:ascii="Times New Roman" w:hAnsi="Times New Roman"/>
        </w:rPr>
        <w:t>Doprecyzowano brzmienie art. 21 ust. 5 wskazując, że agencja wykonawcza, może w trakcie roku budżetowego dokonywać zmian w swoim planie finansowym, za zgodą ministra sprawującego nadzór nad agencją. Mogą to być zmiany przychodów i kosztów</w:t>
      </w:r>
      <w:r w:rsidR="005D7C5F" w:rsidRPr="005B0152">
        <w:rPr>
          <w:rFonts w:ascii="Times New Roman" w:hAnsi="Times New Roman"/>
        </w:rPr>
        <w:t xml:space="preserve"> lub dochodów i wydatków</w:t>
      </w:r>
      <w:r w:rsidRPr="005B0152">
        <w:rPr>
          <w:rFonts w:ascii="Times New Roman" w:hAnsi="Times New Roman"/>
        </w:rPr>
        <w:t xml:space="preserve">, w tym przeniesienia między poszczególnymi </w:t>
      </w:r>
      <w:r w:rsidR="005D7C5F" w:rsidRPr="005B0152">
        <w:rPr>
          <w:rFonts w:ascii="Times New Roman" w:hAnsi="Times New Roman"/>
        </w:rPr>
        <w:t xml:space="preserve">ich </w:t>
      </w:r>
      <w:r w:rsidRPr="005B0152">
        <w:rPr>
          <w:rFonts w:ascii="Times New Roman" w:hAnsi="Times New Roman"/>
        </w:rPr>
        <w:t xml:space="preserve">pozycjami, jeżeli nie powodują one zwiększenia zobowiązań agencji i pogorszenia planowanego wyniku finansowego brutto agencji, chyba że odrębne ustawy stanowią inaczej. Jak wskazano w projektowanym przepisie o dokonanych zmianach należy niezwłocznie poinformować Ministra Finansów. </w:t>
      </w:r>
      <w:r w:rsidR="001D318D">
        <w:rPr>
          <w:rFonts w:ascii="Times New Roman" w:hAnsi="Times New Roman"/>
        </w:rPr>
        <w:t>D</w:t>
      </w:r>
      <w:r w:rsidR="00EF1729" w:rsidRPr="005B0152">
        <w:rPr>
          <w:rFonts w:ascii="Times New Roman" w:hAnsi="Times New Roman"/>
        </w:rPr>
        <w:t xml:space="preserve">odano </w:t>
      </w:r>
      <w:r w:rsidR="001D318D">
        <w:rPr>
          <w:rFonts w:ascii="Times New Roman" w:hAnsi="Times New Roman"/>
        </w:rPr>
        <w:t xml:space="preserve">także </w:t>
      </w:r>
      <w:r w:rsidR="00EF1729" w:rsidRPr="005B0152">
        <w:rPr>
          <w:rFonts w:ascii="Times New Roman" w:hAnsi="Times New Roman"/>
        </w:rPr>
        <w:t>ust. 5a, zgodnie z którym w planie finansowym agencji wykonawczej,</w:t>
      </w:r>
      <w:r w:rsidR="00D0613B" w:rsidRPr="005B0152">
        <w:rPr>
          <w:rFonts w:ascii="Times New Roman" w:hAnsi="Times New Roman"/>
        </w:rPr>
        <w:t xml:space="preserve"> mogą być dokonywane zmiany polegające na zwiększeniu planowanych wydatków ponad planowane dochody</w:t>
      </w:r>
      <w:r w:rsidR="002139E7" w:rsidRPr="005B0152">
        <w:rPr>
          <w:rFonts w:ascii="Times New Roman" w:hAnsi="Times New Roman"/>
        </w:rPr>
        <w:t xml:space="preserve">, o ile nie przewyższają one wysokości środków pieniężnych z </w:t>
      </w:r>
      <w:r w:rsidR="00E201DC" w:rsidRPr="005B0152">
        <w:rPr>
          <w:rFonts w:ascii="Times New Roman" w:hAnsi="Times New Roman"/>
        </w:rPr>
        <w:t>poprzednich okresów, pozostających w dyspozycji agencji wykonawczej</w:t>
      </w:r>
      <w:r w:rsidR="00D0613B" w:rsidRPr="005B0152">
        <w:rPr>
          <w:rFonts w:ascii="Times New Roman" w:hAnsi="Times New Roman"/>
        </w:rPr>
        <w:t xml:space="preserve">. </w:t>
      </w:r>
      <w:r w:rsidR="001D318D">
        <w:rPr>
          <w:rFonts w:ascii="Times New Roman" w:hAnsi="Times New Roman"/>
        </w:rPr>
        <w:t xml:space="preserve">W </w:t>
      </w:r>
      <w:r w:rsidR="00D0613B" w:rsidRPr="005B0152">
        <w:rPr>
          <w:rFonts w:ascii="Times New Roman" w:hAnsi="Times New Roman"/>
        </w:rPr>
        <w:t xml:space="preserve">ust. 5b zaproponowano </w:t>
      </w:r>
      <w:r w:rsidR="001D318D">
        <w:rPr>
          <w:rFonts w:ascii="Times New Roman" w:hAnsi="Times New Roman"/>
        </w:rPr>
        <w:t xml:space="preserve">zaś </w:t>
      </w:r>
      <w:r w:rsidR="00D0613B" w:rsidRPr="005B0152">
        <w:rPr>
          <w:rFonts w:ascii="Times New Roman" w:hAnsi="Times New Roman"/>
        </w:rPr>
        <w:t>rozwiązanie polegające na możliwości tworzenia w planie finansowym agencji wykonawczej,</w:t>
      </w:r>
      <w:r w:rsidR="001D318D">
        <w:rPr>
          <w:rFonts w:ascii="Times New Roman" w:hAnsi="Times New Roman"/>
        </w:rPr>
        <w:t xml:space="preserve"> w trakcie roku budżetowego</w:t>
      </w:r>
      <w:r w:rsidR="00EF1729" w:rsidRPr="005B0152">
        <w:rPr>
          <w:rFonts w:ascii="Times New Roman" w:hAnsi="Times New Roman"/>
        </w:rPr>
        <w:t xml:space="preserve"> now</w:t>
      </w:r>
      <w:r w:rsidR="00D0613B" w:rsidRPr="005B0152">
        <w:rPr>
          <w:rFonts w:ascii="Times New Roman" w:hAnsi="Times New Roman"/>
        </w:rPr>
        <w:t>ych</w:t>
      </w:r>
      <w:r w:rsidR="00EF1729" w:rsidRPr="005B0152">
        <w:rPr>
          <w:rFonts w:ascii="Times New Roman" w:hAnsi="Times New Roman"/>
        </w:rPr>
        <w:t xml:space="preserve"> pozycj</w:t>
      </w:r>
      <w:r w:rsidR="00D0613B" w:rsidRPr="005B0152">
        <w:rPr>
          <w:rFonts w:ascii="Times New Roman" w:hAnsi="Times New Roman"/>
        </w:rPr>
        <w:t>i</w:t>
      </w:r>
      <w:r w:rsidR="00EF1729" w:rsidRPr="005B0152">
        <w:rPr>
          <w:rFonts w:ascii="Times New Roman" w:hAnsi="Times New Roman"/>
        </w:rPr>
        <w:t>.</w:t>
      </w:r>
      <w:r w:rsidR="00090716" w:rsidRPr="005B0152">
        <w:rPr>
          <w:rFonts w:ascii="Times New Roman" w:hAnsi="Times New Roman"/>
        </w:rPr>
        <w:t xml:space="preserve"> </w:t>
      </w:r>
      <w:r w:rsidR="001D318D">
        <w:rPr>
          <w:rFonts w:ascii="Times New Roman" w:hAnsi="Times New Roman"/>
        </w:rPr>
        <w:t xml:space="preserve">Jednocześnie wskazano </w:t>
      </w:r>
      <w:r w:rsidR="007D5447">
        <w:rPr>
          <w:rFonts w:ascii="Times New Roman" w:hAnsi="Times New Roman"/>
        </w:rPr>
        <w:t xml:space="preserve">na odpowiednie </w:t>
      </w:r>
      <w:r w:rsidR="001D318D">
        <w:rPr>
          <w:rFonts w:ascii="Times New Roman" w:hAnsi="Times New Roman"/>
        </w:rPr>
        <w:t>za</w:t>
      </w:r>
      <w:r w:rsidR="007D5447">
        <w:rPr>
          <w:rFonts w:ascii="Times New Roman" w:hAnsi="Times New Roman"/>
        </w:rPr>
        <w:t>stosowanie</w:t>
      </w:r>
      <w:r w:rsidR="001D318D">
        <w:rPr>
          <w:rFonts w:ascii="Times New Roman" w:hAnsi="Times New Roman"/>
        </w:rPr>
        <w:t xml:space="preserve"> przepisów</w:t>
      </w:r>
      <w:r w:rsidR="007D5447">
        <w:rPr>
          <w:rFonts w:ascii="Times New Roman" w:hAnsi="Times New Roman"/>
        </w:rPr>
        <w:t xml:space="preserve"> ust. 5 i 5a, </w:t>
      </w:r>
      <w:r w:rsidR="001D318D">
        <w:rPr>
          <w:rFonts w:ascii="Times New Roman" w:hAnsi="Times New Roman"/>
        </w:rPr>
        <w:t xml:space="preserve">co oznacza, że </w:t>
      </w:r>
      <w:r w:rsidR="007D5447">
        <w:rPr>
          <w:rFonts w:ascii="Times New Roman" w:hAnsi="Times New Roman"/>
        </w:rPr>
        <w:t>zmiany</w:t>
      </w:r>
      <w:r w:rsidR="001D318D">
        <w:rPr>
          <w:rFonts w:ascii="Times New Roman" w:hAnsi="Times New Roman"/>
        </w:rPr>
        <w:t xml:space="preserve"> planu finansowego, o których mowa w przepisach w ust. 5 i 5a mogą dotyczyć także tworzonych w trakcie roku nowych pozycji </w:t>
      </w:r>
      <w:r w:rsidR="001D318D" w:rsidRPr="005B0152">
        <w:rPr>
          <w:rFonts w:ascii="Times New Roman" w:hAnsi="Times New Roman"/>
        </w:rPr>
        <w:t>przychodów, kosztów, dochodów lub wydatków.</w:t>
      </w:r>
    </w:p>
    <w:p w14:paraId="1D998C50" w14:textId="77777777" w:rsidR="00CB4517" w:rsidRPr="005B0152" w:rsidRDefault="00CB4517" w:rsidP="00713591">
      <w:pPr>
        <w:spacing w:line="276" w:lineRule="auto"/>
        <w:jc w:val="both"/>
        <w:rPr>
          <w:rFonts w:ascii="Times New Roman" w:hAnsi="Times New Roman"/>
        </w:rPr>
      </w:pPr>
    </w:p>
    <w:p w14:paraId="39CA1C28" w14:textId="1D017138" w:rsidR="00CB4517" w:rsidRDefault="00CB4517" w:rsidP="00713591">
      <w:pPr>
        <w:spacing w:line="276" w:lineRule="auto"/>
        <w:jc w:val="both"/>
        <w:rPr>
          <w:rFonts w:ascii="Times New Roman" w:hAnsi="Times New Roman"/>
        </w:rPr>
      </w:pPr>
      <w:r w:rsidRPr="005B0152">
        <w:rPr>
          <w:rFonts w:ascii="Times New Roman" w:hAnsi="Times New Roman"/>
        </w:rPr>
        <w:t xml:space="preserve">W art. 21 ust. 6 zaproponowano rozwiązanie polegające na uzależnieniu możliwości dokonania zmian w planie </w:t>
      </w:r>
      <w:r w:rsidR="00126B82">
        <w:rPr>
          <w:rFonts w:ascii="Times New Roman" w:hAnsi="Times New Roman"/>
        </w:rPr>
        <w:t>finansowym agencji polegających na zwiększeniu dotacji z </w:t>
      </w:r>
      <w:r w:rsidRPr="005B0152">
        <w:rPr>
          <w:rFonts w:ascii="Times New Roman" w:hAnsi="Times New Roman"/>
        </w:rPr>
        <w:t>budżetu państwa</w:t>
      </w:r>
      <w:r w:rsidR="005D7C5F" w:rsidRPr="005B0152">
        <w:rPr>
          <w:rFonts w:ascii="Times New Roman" w:hAnsi="Times New Roman"/>
        </w:rPr>
        <w:t xml:space="preserve"> lub</w:t>
      </w:r>
      <w:r w:rsidRPr="005B0152">
        <w:rPr>
          <w:rFonts w:ascii="Times New Roman" w:hAnsi="Times New Roman"/>
        </w:rPr>
        <w:t xml:space="preserve"> łącznych kosztów agencji wykonawczej lub </w:t>
      </w:r>
      <w:r w:rsidR="00713591" w:rsidRPr="005B0152">
        <w:rPr>
          <w:rFonts w:ascii="Times New Roman" w:hAnsi="Times New Roman"/>
        </w:rPr>
        <w:t>uposaże</w:t>
      </w:r>
      <w:r w:rsidR="005D7C5F" w:rsidRPr="005B0152">
        <w:rPr>
          <w:rFonts w:ascii="Times New Roman" w:hAnsi="Times New Roman"/>
        </w:rPr>
        <w:t>ń</w:t>
      </w:r>
      <w:r w:rsidR="00713591" w:rsidRPr="005B0152">
        <w:rPr>
          <w:rFonts w:ascii="Times New Roman" w:hAnsi="Times New Roman"/>
        </w:rPr>
        <w:t xml:space="preserve"> i </w:t>
      </w:r>
      <w:r w:rsidRPr="005B0152">
        <w:rPr>
          <w:rFonts w:ascii="Times New Roman" w:hAnsi="Times New Roman"/>
        </w:rPr>
        <w:t>wynagrodze</w:t>
      </w:r>
      <w:r w:rsidR="005D7C5F" w:rsidRPr="005B0152">
        <w:rPr>
          <w:rFonts w:ascii="Times New Roman" w:hAnsi="Times New Roman"/>
        </w:rPr>
        <w:t>ń</w:t>
      </w:r>
      <w:r w:rsidRPr="005B0152">
        <w:rPr>
          <w:rFonts w:ascii="Times New Roman" w:hAnsi="Times New Roman"/>
        </w:rPr>
        <w:t xml:space="preserve"> ze stosunku pracy, od uzyskania pozytywnej opinii sejmowej komisji właściwej ds. budżetu. </w:t>
      </w:r>
      <w:r w:rsidR="005B0152" w:rsidRPr="005B0152">
        <w:rPr>
          <w:rFonts w:ascii="Times New Roman" w:hAnsi="Times New Roman"/>
        </w:rPr>
        <w:t>O</w:t>
      </w:r>
      <w:r w:rsidRPr="005B0152">
        <w:rPr>
          <w:rFonts w:ascii="Times New Roman" w:hAnsi="Times New Roman"/>
        </w:rPr>
        <w:t>bowiązek wystąpienia o opinię</w:t>
      </w:r>
      <w:r w:rsidR="005B0152" w:rsidRPr="005B0152">
        <w:rPr>
          <w:rFonts w:ascii="Times New Roman" w:hAnsi="Times New Roman"/>
        </w:rPr>
        <w:t xml:space="preserve">, </w:t>
      </w:r>
      <w:r w:rsidRPr="005B0152">
        <w:rPr>
          <w:rFonts w:ascii="Times New Roman" w:hAnsi="Times New Roman"/>
        </w:rPr>
        <w:t>o której mowa powyżej spoczywa na ministrze nadzorującym agencję wykonawczą</w:t>
      </w:r>
      <w:r w:rsidR="005D7C5F" w:rsidRPr="005B0152">
        <w:rPr>
          <w:rFonts w:ascii="Times New Roman" w:hAnsi="Times New Roman"/>
        </w:rPr>
        <w:t xml:space="preserve">. </w:t>
      </w:r>
      <w:r w:rsidR="005B0152" w:rsidRPr="005B0152">
        <w:rPr>
          <w:rFonts w:ascii="Times New Roman" w:hAnsi="Times New Roman"/>
        </w:rPr>
        <w:t>Wcześniej Minister Finansów wyraża zgodę na dokonanie takich zmian.</w:t>
      </w:r>
      <w:r w:rsidR="00126B82">
        <w:rPr>
          <w:rFonts w:ascii="Times New Roman" w:hAnsi="Times New Roman"/>
        </w:rPr>
        <w:t xml:space="preserve"> Ponadto zgodnie z </w:t>
      </w:r>
      <w:r w:rsidR="005B0152">
        <w:rPr>
          <w:rFonts w:ascii="Times New Roman" w:hAnsi="Times New Roman"/>
        </w:rPr>
        <w:t xml:space="preserve">projektowanym ust. 6a minister sprawujący nadzór nad agencją występując o ww. zgodę, jest obowiązany przedstawić Ministrowi Finansów swoją opinię w tej sprawie. </w:t>
      </w:r>
    </w:p>
    <w:p w14:paraId="6648FF9B" w14:textId="77777777" w:rsidR="002C33F7" w:rsidRPr="002C33F7" w:rsidRDefault="002C33F7" w:rsidP="00713591">
      <w:pPr>
        <w:spacing w:line="276" w:lineRule="auto"/>
        <w:jc w:val="both"/>
        <w:rPr>
          <w:rFonts w:ascii="Times New Roman" w:hAnsi="Times New Roman"/>
        </w:rPr>
      </w:pPr>
    </w:p>
    <w:p w14:paraId="19A70FFD" w14:textId="605C9DD3" w:rsidR="00CB4517" w:rsidRPr="008E5FB3" w:rsidRDefault="00CB4517" w:rsidP="00713591">
      <w:pPr>
        <w:spacing w:before="120" w:line="276" w:lineRule="auto"/>
        <w:jc w:val="both"/>
        <w:rPr>
          <w:rFonts w:ascii="Times New Roman" w:hAnsi="Times New Roman"/>
        </w:rPr>
      </w:pPr>
      <w:r w:rsidRPr="008E5FB3">
        <w:rPr>
          <w:rFonts w:ascii="Times New Roman" w:hAnsi="Times New Roman"/>
          <w:b/>
          <w:i/>
        </w:rPr>
        <w:t>zmian</w:t>
      </w:r>
      <w:r w:rsidR="00F64C14">
        <w:rPr>
          <w:rFonts w:ascii="Times New Roman" w:hAnsi="Times New Roman"/>
          <w:b/>
          <w:i/>
        </w:rPr>
        <w:t>a</w:t>
      </w:r>
      <w:r w:rsidRPr="008E5FB3">
        <w:rPr>
          <w:rFonts w:ascii="Times New Roman" w:hAnsi="Times New Roman"/>
          <w:b/>
          <w:i/>
        </w:rPr>
        <w:t xml:space="preserve"> w art. 24 </w:t>
      </w:r>
      <w:r w:rsidR="00F64C14">
        <w:rPr>
          <w:rFonts w:ascii="Times New Roman" w:hAnsi="Times New Roman"/>
          <w:b/>
          <w:i/>
        </w:rPr>
        <w:t>ust. 2, 3, 5 i dodanie ust. 5a</w:t>
      </w:r>
    </w:p>
    <w:p w14:paraId="391D0E24" w14:textId="77777777" w:rsidR="00CB4517" w:rsidRPr="008E5FB3" w:rsidRDefault="00CB4517" w:rsidP="00713591">
      <w:pPr>
        <w:spacing w:line="276" w:lineRule="auto"/>
        <w:jc w:val="both"/>
        <w:rPr>
          <w:rFonts w:ascii="Times New Roman" w:hAnsi="Times New Roman"/>
        </w:rPr>
      </w:pPr>
    </w:p>
    <w:p w14:paraId="2AB43B85" w14:textId="220C2365" w:rsidR="00CB4517" w:rsidRDefault="00CB4517" w:rsidP="00713591">
      <w:pPr>
        <w:spacing w:line="276" w:lineRule="auto"/>
        <w:jc w:val="both"/>
        <w:rPr>
          <w:rFonts w:ascii="Times New Roman" w:hAnsi="Times New Roman"/>
        </w:rPr>
      </w:pPr>
      <w:r w:rsidRPr="005B0152">
        <w:rPr>
          <w:rFonts w:ascii="Times New Roman" w:hAnsi="Times New Roman"/>
        </w:rPr>
        <w:t xml:space="preserve">Zdecydowano o zmianie i doprecyzowaniu brzmienia wprowadzenia do wyliczenia w art. 24 w ust. 2, wskazując, że roczny plan finansowy będący podstawą gospodarki finansowej instytucji gospodarki budżetowej obejmuje </w:t>
      </w:r>
      <w:r w:rsidR="003E5B1D" w:rsidRPr="005B0152">
        <w:rPr>
          <w:rFonts w:ascii="Times New Roman" w:hAnsi="Times New Roman"/>
        </w:rPr>
        <w:t>„w szczególności” wymienione pozycje</w:t>
      </w:r>
      <w:r w:rsidRPr="005B0152">
        <w:rPr>
          <w:rFonts w:ascii="Times New Roman" w:hAnsi="Times New Roman"/>
        </w:rPr>
        <w:t xml:space="preserve">. Przepis ma na celu wskazanie, że zawartość rocznego planu finansowego instytucji gospodarki budżetowej nie stanowi katalogu zamkniętego – tj. plan może obejmować również inne pozycje niż wymienione w tym przepisie. </w:t>
      </w:r>
    </w:p>
    <w:p w14:paraId="350EABAE" w14:textId="77777777" w:rsidR="005B0152" w:rsidRPr="005B0152" w:rsidRDefault="005B0152" w:rsidP="00713591">
      <w:pPr>
        <w:spacing w:line="276" w:lineRule="auto"/>
        <w:jc w:val="both"/>
        <w:rPr>
          <w:rFonts w:ascii="Times New Roman" w:hAnsi="Times New Roman"/>
        </w:rPr>
      </w:pPr>
    </w:p>
    <w:p w14:paraId="5F5C18E2" w14:textId="77AE4B6D" w:rsidR="00CB4517" w:rsidRDefault="00CB4517" w:rsidP="005B0152">
      <w:pPr>
        <w:spacing w:line="276" w:lineRule="auto"/>
        <w:jc w:val="both"/>
        <w:rPr>
          <w:rFonts w:ascii="Times New Roman" w:hAnsi="Times New Roman"/>
        </w:rPr>
      </w:pPr>
      <w:r w:rsidRPr="005B0152">
        <w:rPr>
          <w:rFonts w:ascii="Times New Roman" w:hAnsi="Times New Roman"/>
        </w:rPr>
        <w:t xml:space="preserve">W art. 24 w ust. 2 pkt 3 i ust. 5 zdecydowano o doprecyzowaniu zastosowanego terminu „wynagrodzenia” i zaproponowano </w:t>
      </w:r>
      <w:r w:rsidR="007F3BD8" w:rsidRPr="005B0152">
        <w:rPr>
          <w:rFonts w:ascii="Times New Roman" w:hAnsi="Times New Roman"/>
        </w:rPr>
        <w:t xml:space="preserve">dodanie </w:t>
      </w:r>
      <w:r w:rsidRPr="005B0152">
        <w:rPr>
          <w:rFonts w:ascii="Times New Roman" w:hAnsi="Times New Roman"/>
        </w:rPr>
        <w:t>sformułowania „na </w:t>
      </w:r>
      <w:r w:rsidR="003E5B1D" w:rsidRPr="005B0152">
        <w:rPr>
          <w:rFonts w:ascii="Times New Roman" w:hAnsi="Times New Roman"/>
        </w:rPr>
        <w:t>uposażenia i</w:t>
      </w:r>
      <w:r w:rsidR="00225EF3" w:rsidRPr="005B0152">
        <w:rPr>
          <w:rFonts w:ascii="Times New Roman" w:hAnsi="Times New Roman"/>
        </w:rPr>
        <w:t> </w:t>
      </w:r>
      <w:r w:rsidRPr="005B0152">
        <w:rPr>
          <w:rFonts w:ascii="Times New Roman" w:hAnsi="Times New Roman"/>
        </w:rPr>
        <w:t xml:space="preserve">wynagrodzenia ze stosunku pracy”. </w:t>
      </w:r>
    </w:p>
    <w:p w14:paraId="0EDD0EC0" w14:textId="77777777" w:rsidR="005B0152" w:rsidRPr="005B0152" w:rsidRDefault="005B0152" w:rsidP="005B0152">
      <w:pPr>
        <w:spacing w:line="276" w:lineRule="auto"/>
        <w:jc w:val="both"/>
        <w:rPr>
          <w:rFonts w:ascii="Times New Roman" w:hAnsi="Times New Roman"/>
        </w:rPr>
      </w:pPr>
    </w:p>
    <w:p w14:paraId="6B337F73" w14:textId="535AE727" w:rsidR="00CB4517" w:rsidRDefault="00CB4517" w:rsidP="005B0152">
      <w:pPr>
        <w:spacing w:line="276" w:lineRule="auto"/>
        <w:jc w:val="both"/>
        <w:rPr>
          <w:rFonts w:ascii="Times New Roman" w:hAnsi="Times New Roman"/>
        </w:rPr>
      </w:pPr>
      <w:r w:rsidRPr="005B0152">
        <w:rPr>
          <w:rFonts w:ascii="Times New Roman" w:hAnsi="Times New Roman"/>
        </w:rPr>
        <w:t xml:space="preserve">W art. 24 w ust. 3 zrezygnowano z rozróżnienia w zestawieniu dwóch kategorii kosztów </w:t>
      </w:r>
      <w:r w:rsidRPr="005B0152">
        <w:rPr>
          <w:rFonts w:ascii="Times New Roman" w:hAnsi="Times New Roman"/>
        </w:rPr>
        <w:br/>
        <w:t xml:space="preserve">(tj. podziału na koszty: funkcjonowania instytucji gospodarki budżetowej oraz wyodrębnionych zadań). Dotychczasowa praktyka potwierdza bowiem brak potrzeby dla wykazywania w planie finansowym instytucji gospodarki budżetowej kosztów w takim ujęciu, a przepis powodował wątpliwości interpretacyjne. Ponadto z ust. 3 wykreślono słowo „uzyskanych” odnoszące się do przychodów, w celu usunięcia wątpliwości interpretacyjnych, dotyczących możliwości zmiany planu finansowego, gdy na rachunek instytucji gospodarki budżetowej nie wpłynęły żadne środki, a już istnieje potrzeba dokonywania wydatków. </w:t>
      </w:r>
    </w:p>
    <w:p w14:paraId="3DB0F756" w14:textId="77777777" w:rsidR="005B0152" w:rsidRPr="005B0152" w:rsidRDefault="005B0152" w:rsidP="005B0152">
      <w:pPr>
        <w:spacing w:line="276" w:lineRule="auto"/>
        <w:jc w:val="both"/>
        <w:rPr>
          <w:rFonts w:ascii="Times New Roman" w:hAnsi="Times New Roman"/>
        </w:rPr>
      </w:pPr>
    </w:p>
    <w:p w14:paraId="5B613F31" w14:textId="548C333B" w:rsidR="00126B82" w:rsidRDefault="00CB4517" w:rsidP="005B0152">
      <w:pPr>
        <w:spacing w:line="276" w:lineRule="auto"/>
        <w:jc w:val="both"/>
        <w:rPr>
          <w:rFonts w:ascii="Times New Roman" w:hAnsi="Times New Roman"/>
        </w:rPr>
      </w:pPr>
      <w:r w:rsidRPr="005B0152">
        <w:rPr>
          <w:rFonts w:ascii="Times New Roman" w:hAnsi="Times New Roman"/>
        </w:rPr>
        <w:t>W art. 24 ust. 5</w:t>
      </w:r>
      <w:r w:rsidR="00DE31FD" w:rsidRPr="005B0152">
        <w:rPr>
          <w:rFonts w:ascii="Times New Roman" w:hAnsi="Times New Roman"/>
        </w:rPr>
        <w:t xml:space="preserve"> i 5a</w:t>
      </w:r>
      <w:r w:rsidRPr="005B0152">
        <w:rPr>
          <w:rFonts w:ascii="Times New Roman" w:hAnsi="Times New Roman"/>
        </w:rPr>
        <w:t xml:space="preserve"> doprecyzowano zasady dokonywania zmian planu finansowego instytucji gospodarki budżetowej w trakcie roku budżetowego </w:t>
      </w:r>
      <w:r w:rsidR="00126B82">
        <w:rPr>
          <w:rFonts w:ascii="Times New Roman" w:hAnsi="Times New Roman"/>
        </w:rPr>
        <w:t>i</w:t>
      </w:r>
      <w:r w:rsidRPr="005B0152">
        <w:rPr>
          <w:rFonts w:ascii="Times New Roman" w:hAnsi="Times New Roman"/>
        </w:rPr>
        <w:t xml:space="preserve"> </w:t>
      </w:r>
      <w:r w:rsidR="005B0152" w:rsidRPr="005B0152">
        <w:rPr>
          <w:rFonts w:ascii="Times New Roman" w:hAnsi="Times New Roman"/>
        </w:rPr>
        <w:t xml:space="preserve">kierunkowo </w:t>
      </w:r>
      <w:proofErr w:type="spellStart"/>
      <w:r w:rsidRPr="005B0152">
        <w:rPr>
          <w:rFonts w:ascii="Times New Roman" w:hAnsi="Times New Roman"/>
        </w:rPr>
        <w:t>u</w:t>
      </w:r>
      <w:r w:rsidR="00126B82">
        <w:rPr>
          <w:rFonts w:ascii="Times New Roman" w:hAnsi="Times New Roman"/>
        </w:rPr>
        <w:t>spójniono</w:t>
      </w:r>
      <w:proofErr w:type="spellEnd"/>
      <w:r w:rsidRPr="005B0152">
        <w:rPr>
          <w:rFonts w:ascii="Times New Roman" w:hAnsi="Times New Roman"/>
        </w:rPr>
        <w:t xml:space="preserve"> je z</w:t>
      </w:r>
      <w:r w:rsidR="005B0152" w:rsidRPr="005B0152">
        <w:rPr>
          <w:rFonts w:ascii="Times New Roman" w:hAnsi="Times New Roman"/>
        </w:rPr>
        <w:t> </w:t>
      </w:r>
      <w:r w:rsidRPr="005B0152">
        <w:rPr>
          <w:rFonts w:ascii="Times New Roman" w:hAnsi="Times New Roman"/>
        </w:rPr>
        <w:t xml:space="preserve">regulacjami </w:t>
      </w:r>
      <w:r w:rsidR="00126B82">
        <w:rPr>
          <w:rFonts w:ascii="Times New Roman" w:hAnsi="Times New Roman"/>
        </w:rPr>
        <w:t>w obszarze dotyczącym</w:t>
      </w:r>
      <w:r w:rsidRPr="005B0152">
        <w:rPr>
          <w:rFonts w:ascii="Times New Roman" w:hAnsi="Times New Roman"/>
        </w:rPr>
        <w:t xml:space="preserve"> agencji wykonawczych i państwowych funduszy celowych.</w:t>
      </w:r>
      <w:r w:rsidR="004F017F" w:rsidRPr="004F017F">
        <w:t xml:space="preserve"> </w:t>
      </w:r>
      <w:r w:rsidR="004F017F">
        <w:rPr>
          <w:rFonts w:ascii="Times New Roman" w:hAnsi="Times New Roman"/>
        </w:rPr>
        <w:t>W ust. 5a</w:t>
      </w:r>
      <w:r w:rsidR="004F017F" w:rsidRPr="004F017F">
        <w:rPr>
          <w:rFonts w:ascii="Times New Roman" w:hAnsi="Times New Roman"/>
        </w:rPr>
        <w:t xml:space="preserve"> wskazano </w:t>
      </w:r>
      <w:r w:rsidR="00126B82">
        <w:rPr>
          <w:rFonts w:ascii="Times New Roman" w:hAnsi="Times New Roman"/>
        </w:rPr>
        <w:t xml:space="preserve">jednocześnie </w:t>
      </w:r>
      <w:r w:rsidR="004F017F" w:rsidRPr="004F017F">
        <w:rPr>
          <w:rFonts w:ascii="Times New Roman" w:hAnsi="Times New Roman"/>
        </w:rPr>
        <w:t>na od</w:t>
      </w:r>
      <w:r w:rsidR="004F017F">
        <w:rPr>
          <w:rFonts w:ascii="Times New Roman" w:hAnsi="Times New Roman"/>
        </w:rPr>
        <w:t xml:space="preserve">powiednie </w:t>
      </w:r>
      <w:r w:rsidR="00126B82">
        <w:rPr>
          <w:rFonts w:ascii="Times New Roman" w:hAnsi="Times New Roman"/>
        </w:rPr>
        <w:t>za</w:t>
      </w:r>
      <w:r w:rsidR="004F017F">
        <w:rPr>
          <w:rFonts w:ascii="Times New Roman" w:hAnsi="Times New Roman"/>
        </w:rPr>
        <w:t xml:space="preserve">stosowanie ust. 5, </w:t>
      </w:r>
      <w:r w:rsidR="00126B82">
        <w:rPr>
          <w:rFonts w:ascii="Times New Roman" w:hAnsi="Times New Roman"/>
        </w:rPr>
        <w:t xml:space="preserve">co oznacza, że zmiany planu finansowego, o których mowa w przepisach w ust. 5 mogą dotyczyć także tworzonych w trakcie roku nowych pozycji </w:t>
      </w:r>
      <w:r w:rsidR="00126B82" w:rsidRPr="005B0152">
        <w:rPr>
          <w:rFonts w:ascii="Times New Roman" w:hAnsi="Times New Roman"/>
        </w:rPr>
        <w:t>przychodów</w:t>
      </w:r>
      <w:r w:rsidR="00E36D67">
        <w:rPr>
          <w:rFonts w:ascii="Times New Roman" w:hAnsi="Times New Roman"/>
        </w:rPr>
        <w:t xml:space="preserve"> lub</w:t>
      </w:r>
      <w:r w:rsidR="00126B82" w:rsidRPr="005B0152">
        <w:rPr>
          <w:rFonts w:ascii="Times New Roman" w:hAnsi="Times New Roman"/>
        </w:rPr>
        <w:t xml:space="preserve"> kosztów</w:t>
      </w:r>
      <w:r w:rsidR="00E36D67">
        <w:rPr>
          <w:rFonts w:ascii="Times New Roman" w:hAnsi="Times New Roman"/>
        </w:rPr>
        <w:t>.</w:t>
      </w:r>
    </w:p>
    <w:p w14:paraId="5F9AFD89" w14:textId="77777777" w:rsidR="00CB4517" w:rsidRPr="008E5FB3" w:rsidRDefault="00CB4517" w:rsidP="00713591">
      <w:pPr>
        <w:spacing w:line="276" w:lineRule="auto"/>
        <w:jc w:val="both"/>
        <w:rPr>
          <w:rFonts w:ascii="Times New Roman" w:hAnsi="Times New Roman"/>
        </w:rPr>
      </w:pPr>
    </w:p>
    <w:p w14:paraId="57FD6D26" w14:textId="5DE37BA1" w:rsidR="00CB4517" w:rsidRPr="008E5FB3" w:rsidRDefault="00CB4517" w:rsidP="00713591">
      <w:pPr>
        <w:spacing w:before="120" w:line="276" w:lineRule="auto"/>
        <w:jc w:val="both"/>
        <w:rPr>
          <w:rFonts w:ascii="Times New Roman" w:hAnsi="Times New Roman"/>
          <w:b/>
          <w:i/>
        </w:rPr>
      </w:pPr>
      <w:r w:rsidRPr="008E5FB3">
        <w:rPr>
          <w:rFonts w:ascii="Times New Roman" w:hAnsi="Times New Roman"/>
          <w:b/>
          <w:i/>
        </w:rPr>
        <w:t>zmian</w:t>
      </w:r>
      <w:r w:rsidR="00F64C14">
        <w:rPr>
          <w:rFonts w:ascii="Times New Roman" w:hAnsi="Times New Roman"/>
          <w:b/>
          <w:i/>
        </w:rPr>
        <w:t>a</w:t>
      </w:r>
      <w:r w:rsidRPr="008E5FB3">
        <w:rPr>
          <w:rFonts w:ascii="Times New Roman" w:hAnsi="Times New Roman"/>
          <w:b/>
          <w:i/>
        </w:rPr>
        <w:t xml:space="preserve"> w art. 29</w:t>
      </w:r>
      <w:r w:rsidR="00080647">
        <w:rPr>
          <w:rFonts w:ascii="Times New Roman" w:hAnsi="Times New Roman"/>
          <w:b/>
          <w:i/>
        </w:rPr>
        <w:t xml:space="preserve"> ust. 8 i 9, </w:t>
      </w:r>
      <w:r w:rsidR="00F64C14">
        <w:rPr>
          <w:rFonts w:ascii="Times New Roman" w:hAnsi="Times New Roman"/>
          <w:b/>
          <w:i/>
        </w:rPr>
        <w:t xml:space="preserve">dodanie ust. 9a </w:t>
      </w:r>
      <w:r w:rsidR="0076247C">
        <w:rPr>
          <w:rFonts w:ascii="Times New Roman" w:hAnsi="Times New Roman"/>
          <w:b/>
          <w:i/>
        </w:rPr>
        <w:t>–</w:t>
      </w:r>
      <w:r w:rsidR="00F64C14">
        <w:rPr>
          <w:rFonts w:ascii="Times New Roman" w:hAnsi="Times New Roman"/>
          <w:b/>
          <w:i/>
        </w:rPr>
        <w:t xml:space="preserve"> 9</w:t>
      </w:r>
      <w:r w:rsidR="005D7C5F">
        <w:rPr>
          <w:rFonts w:ascii="Times New Roman" w:hAnsi="Times New Roman"/>
          <w:b/>
          <w:i/>
        </w:rPr>
        <w:t>d</w:t>
      </w:r>
      <w:r w:rsidR="00080647">
        <w:rPr>
          <w:rFonts w:ascii="Times New Roman" w:hAnsi="Times New Roman"/>
          <w:b/>
          <w:i/>
        </w:rPr>
        <w:t xml:space="preserve"> </w:t>
      </w:r>
      <w:r w:rsidR="0076247C">
        <w:rPr>
          <w:rFonts w:ascii="Times New Roman" w:hAnsi="Times New Roman"/>
          <w:b/>
          <w:i/>
        </w:rPr>
        <w:t>o</w:t>
      </w:r>
      <w:r w:rsidR="00080647">
        <w:rPr>
          <w:rFonts w:ascii="Times New Roman" w:hAnsi="Times New Roman"/>
          <w:b/>
          <w:i/>
        </w:rPr>
        <w:t>raz uchylenie ust. 12</w:t>
      </w:r>
    </w:p>
    <w:p w14:paraId="2F69FE20" w14:textId="77777777" w:rsidR="00CB4517" w:rsidRPr="008E5FB3" w:rsidRDefault="00CB4517" w:rsidP="00713591">
      <w:pPr>
        <w:spacing w:line="276" w:lineRule="auto"/>
        <w:jc w:val="both"/>
        <w:rPr>
          <w:rFonts w:ascii="Times New Roman" w:hAnsi="Times New Roman"/>
        </w:rPr>
      </w:pPr>
    </w:p>
    <w:p w14:paraId="1046D12B" w14:textId="77777777" w:rsidR="00CB4517" w:rsidRDefault="00CB4517" w:rsidP="00010300">
      <w:pPr>
        <w:spacing w:line="276" w:lineRule="auto"/>
        <w:jc w:val="both"/>
        <w:rPr>
          <w:rFonts w:ascii="Times New Roman" w:hAnsi="Times New Roman"/>
        </w:rPr>
      </w:pPr>
      <w:r w:rsidRPr="00010300">
        <w:rPr>
          <w:rFonts w:ascii="Times New Roman" w:hAnsi="Times New Roman"/>
        </w:rPr>
        <w:t>W art. 29 w ust. 8 doprecyzowano, że środki pieniężne z poprzednich okresów mogą być wykorzystywane w trakcie roku budżetowego na cele funduszu, analogicznie jak w przypadku instytucji gospodarki budżetowej.</w:t>
      </w:r>
    </w:p>
    <w:p w14:paraId="76DE5BBD" w14:textId="77777777" w:rsidR="00010300" w:rsidRPr="00010300" w:rsidRDefault="00010300" w:rsidP="00010300">
      <w:pPr>
        <w:spacing w:line="276" w:lineRule="auto"/>
        <w:jc w:val="both"/>
        <w:rPr>
          <w:rFonts w:ascii="Times New Roman" w:hAnsi="Times New Roman"/>
        </w:rPr>
      </w:pPr>
    </w:p>
    <w:p w14:paraId="479818AF" w14:textId="1862D76F" w:rsidR="00CB4517" w:rsidRDefault="00CB4517" w:rsidP="00010300">
      <w:pPr>
        <w:spacing w:line="276" w:lineRule="auto"/>
        <w:jc w:val="both"/>
        <w:rPr>
          <w:rFonts w:ascii="Times New Roman" w:hAnsi="Times New Roman"/>
        </w:rPr>
      </w:pPr>
      <w:r w:rsidRPr="00010300">
        <w:rPr>
          <w:rFonts w:ascii="Times New Roman" w:hAnsi="Times New Roman"/>
        </w:rPr>
        <w:t>Stosownie do brzmienia projektowanego ust. 9, zmiana łącznych przychodów i kosztów</w:t>
      </w:r>
      <w:r w:rsidR="00250ED5" w:rsidRPr="00010300">
        <w:rPr>
          <w:rFonts w:ascii="Times New Roman" w:hAnsi="Times New Roman"/>
        </w:rPr>
        <w:t xml:space="preserve"> lub dochodów i wydatków</w:t>
      </w:r>
      <w:r w:rsidRPr="00010300">
        <w:rPr>
          <w:rFonts w:ascii="Times New Roman" w:hAnsi="Times New Roman"/>
        </w:rPr>
        <w:t xml:space="preserve"> albo łączn</w:t>
      </w:r>
      <w:r w:rsidR="00250ED5" w:rsidRPr="00010300">
        <w:rPr>
          <w:rFonts w:ascii="Times New Roman" w:hAnsi="Times New Roman"/>
        </w:rPr>
        <w:t>ej kwoty</w:t>
      </w:r>
      <w:r w:rsidRPr="00010300">
        <w:rPr>
          <w:rFonts w:ascii="Times New Roman" w:hAnsi="Times New Roman"/>
        </w:rPr>
        <w:t xml:space="preserve"> kosztów</w:t>
      </w:r>
      <w:r w:rsidR="00250ED5" w:rsidRPr="00010300">
        <w:rPr>
          <w:rFonts w:ascii="Times New Roman" w:hAnsi="Times New Roman"/>
        </w:rPr>
        <w:t xml:space="preserve"> lub wydatków</w:t>
      </w:r>
      <w:r w:rsidRPr="00010300">
        <w:rPr>
          <w:rFonts w:ascii="Times New Roman" w:hAnsi="Times New Roman"/>
        </w:rPr>
        <w:t xml:space="preserve"> państwowego funduszu celowego dokonywana w trakcie roku budżetowego przez dysponenta tego funduszu wymagała będzie zgody wyrażonej przez Ministra Finansów oraz uzyskania pozytywnej opinii sejmowej komisji właściwej do spraw budżetu. </w:t>
      </w:r>
    </w:p>
    <w:p w14:paraId="4B7250A1" w14:textId="77777777" w:rsidR="00010300" w:rsidRPr="00010300" w:rsidRDefault="00010300" w:rsidP="00010300">
      <w:pPr>
        <w:spacing w:line="276" w:lineRule="auto"/>
        <w:jc w:val="both"/>
        <w:rPr>
          <w:rFonts w:ascii="Times New Roman" w:hAnsi="Times New Roman"/>
        </w:rPr>
      </w:pPr>
    </w:p>
    <w:p w14:paraId="30F7D5C1" w14:textId="5FB04A17" w:rsidR="00CB4517" w:rsidRDefault="00CB4517" w:rsidP="00010300">
      <w:pPr>
        <w:spacing w:line="276" w:lineRule="auto"/>
        <w:jc w:val="both"/>
        <w:rPr>
          <w:rFonts w:ascii="Times New Roman" w:hAnsi="Times New Roman"/>
        </w:rPr>
      </w:pPr>
      <w:r w:rsidRPr="00010300">
        <w:rPr>
          <w:rFonts w:ascii="Times New Roman" w:hAnsi="Times New Roman"/>
        </w:rPr>
        <w:t>Zaproponowano wprowadzenie w nowym ust. 9a bardziej elastycznego trybu zmiany planu państwowego funduszu celowego. Przewidziano możliwość zmiany w ramach planowanych</w:t>
      </w:r>
      <w:r w:rsidR="00250ED5" w:rsidRPr="00010300">
        <w:rPr>
          <w:rFonts w:ascii="Times New Roman" w:hAnsi="Times New Roman"/>
        </w:rPr>
        <w:t xml:space="preserve"> przychodów lub</w:t>
      </w:r>
      <w:r w:rsidRPr="00010300">
        <w:rPr>
          <w:rFonts w:ascii="Times New Roman" w:hAnsi="Times New Roman"/>
        </w:rPr>
        <w:t xml:space="preserve"> kosztów</w:t>
      </w:r>
      <w:r w:rsidR="00250ED5" w:rsidRPr="00010300">
        <w:rPr>
          <w:rFonts w:ascii="Times New Roman" w:hAnsi="Times New Roman"/>
        </w:rPr>
        <w:t xml:space="preserve"> oraz dochodów lub wydatków</w:t>
      </w:r>
      <w:r w:rsidRPr="00010300">
        <w:rPr>
          <w:rFonts w:ascii="Times New Roman" w:hAnsi="Times New Roman"/>
        </w:rPr>
        <w:t xml:space="preserve">, pomiędzy poszczególnymi </w:t>
      </w:r>
      <w:r w:rsidR="00250ED5" w:rsidRPr="00010300">
        <w:rPr>
          <w:rFonts w:ascii="Times New Roman" w:hAnsi="Times New Roman"/>
        </w:rPr>
        <w:t xml:space="preserve">ich </w:t>
      </w:r>
      <w:r w:rsidRPr="00010300">
        <w:rPr>
          <w:rFonts w:ascii="Times New Roman" w:hAnsi="Times New Roman"/>
        </w:rPr>
        <w:t xml:space="preserve">pozycjami (bez zmiany </w:t>
      </w:r>
      <w:r w:rsidR="00250ED5" w:rsidRPr="00010300">
        <w:rPr>
          <w:rFonts w:ascii="Times New Roman" w:hAnsi="Times New Roman"/>
        </w:rPr>
        <w:t>ich kwoty</w:t>
      </w:r>
      <w:r w:rsidRPr="00010300">
        <w:rPr>
          <w:rFonts w:ascii="Times New Roman" w:hAnsi="Times New Roman"/>
        </w:rPr>
        <w:t xml:space="preserve"> ogółem). W odróżnieniu od zmian</w:t>
      </w:r>
      <w:r w:rsidR="00250ED5" w:rsidRPr="00010300">
        <w:rPr>
          <w:rFonts w:ascii="Times New Roman" w:hAnsi="Times New Roman"/>
        </w:rPr>
        <w:t>,</w:t>
      </w:r>
      <w:r w:rsidRPr="00010300">
        <w:rPr>
          <w:rFonts w:ascii="Times New Roman" w:hAnsi="Times New Roman"/>
        </w:rPr>
        <w:t xml:space="preserve"> o których mowa w ust. 9, przeniesienia pomiędzy poszczególnymi pozycjami nie będą wymagały pozytywnej opinii komisji sejmowej właściwej do spraw budżetu. W przypadku</w:t>
      </w:r>
      <w:r w:rsidR="00250ED5" w:rsidRPr="00010300">
        <w:rPr>
          <w:rFonts w:ascii="Times New Roman" w:hAnsi="Times New Roman"/>
        </w:rPr>
        <w:t>,</w:t>
      </w:r>
      <w:r w:rsidRPr="00010300">
        <w:rPr>
          <w:rFonts w:ascii="Times New Roman" w:hAnsi="Times New Roman"/>
        </w:rPr>
        <w:t xml:space="preserve"> gdy dysponentem funduszu nie jest minister, do dokonania przeniesień wymagana jest zgoda </w:t>
      </w:r>
      <w:r w:rsidR="00DF3D66">
        <w:rPr>
          <w:rFonts w:ascii="Times New Roman" w:hAnsi="Times New Roman"/>
        </w:rPr>
        <w:t>organu</w:t>
      </w:r>
      <w:r w:rsidR="003E5B1D" w:rsidRPr="00010300">
        <w:rPr>
          <w:rFonts w:ascii="Times New Roman" w:hAnsi="Times New Roman"/>
        </w:rPr>
        <w:t xml:space="preserve"> </w:t>
      </w:r>
      <w:r w:rsidR="00010300" w:rsidRPr="00010300">
        <w:rPr>
          <w:rFonts w:ascii="Times New Roman" w:hAnsi="Times New Roman"/>
        </w:rPr>
        <w:t xml:space="preserve">nadzorującego dysponenta funduszu, o ile dysponent funduszu posiada organ nadzorujący. </w:t>
      </w:r>
      <w:r w:rsidRPr="00010300">
        <w:rPr>
          <w:rFonts w:ascii="Times New Roman" w:hAnsi="Times New Roman"/>
        </w:rPr>
        <w:t>O dokonanych zmianach należy niezwłocznie poinformować Ministra Finansów. Natomiast przeniesienia, które powodują zwiększenie uposaże</w:t>
      </w:r>
      <w:r w:rsidR="00010300">
        <w:rPr>
          <w:rFonts w:ascii="Times New Roman" w:hAnsi="Times New Roman"/>
        </w:rPr>
        <w:t>ń</w:t>
      </w:r>
      <w:r w:rsidRPr="00010300">
        <w:rPr>
          <w:rFonts w:ascii="Times New Roman" w:hAnsi="Times New Roman"/>
        </w:rPr>
        <w:t xml:space="preserve"> i wynagrodze</w:t>
      </w:r>
      <w:r w:rsidR="00010300">
        <w:rPr>
          <w:rFonts w:ascii="Times New Roman" w:hAnsi="Times New Roman"/>
        </w:rPr>
        <w:t>ń</w:t>
      </w:r>
      <w:r w:rsidRPr="00010300">
        <w:rPr>
          <w:rFonts w:ascii="Times New Roman" w:hAnsi="Times New Roman"/>
        </w:rPr>
        <w:t xml:space="preserve"> ze stosunku pracy wymagają zgody Ministra Finansów.</w:t>
      </w:r>
    </w:p>
    <w:p w14:paraId="4A6E5B49" w14:textId="77777777" w:rsidR="00010300" w:rsidRDefault="00010300" w:rsidP="00010300">
      <w:pPr>
        <w:spacing w:line="276" w:lineRule="auto"/>
        <w:jc w:val="both"/>
        <w:rPr>
          <w:rFonts w:ascii="Times New Roman" w:hAnsi="Times New Roman"/>
        </w:rPr>
      </w:pPr>
    </w:p>
    <w:p w14:paraId="1E69E101" w14:textId="363EA10E" w:rsidR="00126B82" w:rsidRDefault="00010300" w:rsidP="00010300">
      <w:pPr>
        <w:spacing w:line="276" w:lineRule="auto"/>
        <w:jc w:val="both"/>
        <w:rPr>
          <w:rFonts w:ascii="Times New Roman" w:hAnsi="Times New Roman"/>
        </w:rPr>
      </w:pPr>
      <w:r w:rsidRPr="00010300">
        <w:rPr>
          <w:rFonts w:ascii="Times New Roman" w:hAnsi="Times New Roman"/>
        </w:rPr>
        <w:t>W projektowanym ust. 9b wskazuje się, że pogorszenie określonego w planie finansowym państwowego funduszu celowego stanu funduszu na koniec roku, wymaga zgody Ministra Finansów. Natomiast zgodnie z ust. 9c w planie finansowym funduszu mogą być tworzone w</w:t>
      </w:r>
      <w:r>
        <w:rPr>
          <w:rFonts w:ascii="Times New Roman" w:hAnsi="Times New Roman"/>
        </w:rPr>
        <w:t> </w:t>
      </w:r>
      <w:r w:rsidRPr="00010300">
        <w:rPr>
          <w:rFonts w:ascii="Times New Roman" w:hAnsi="Times New Roman"/>
        </w:rPr>
        <w:t>trakcie roku budżetowego nowe pozycje przychodów, kosztów, dochodów lub wydatków. Stosownie do ust. 9d w przypadku gdy dysponentem funduszu nie jest minister zgody Ministra Finansów, o których mowa w ust. 9, 9a, 9b mogą być wydane po prze</w:t>
      </w:r>
      <w:r w:rsidR="00DF3D66">
        <w:rPr>
          <w:rFonts w:ascii="Times New Roman" w:hAnsi="Times New Roman"/>
        </w:rPr>
        <w:t>dstawieniu opinii przez organ nadzorujący</w:t>
      </w:r>
      <w:r w:rsidRPr="00010300">
        <w:rPr>
          <w:rFonts w:ascii="Times New Roman" w:hAnsi="Times New Roman"/>
        </w:rPr>
        <w:t xml:space="preserve"> dysponenta funduszu, o ile dysponent posiada</w:t>
      </w:r>
      <w:r w:rsidR="00DF3D66">
        <w:rPr>
          <w:rFonts w:ascii="Times New Roman" w:hAnsi="Times New Roman"/>
        </w:rPr>
        <w:t xml:space="preserve"> taki organ</w:t>
      </w:r>
      <w:r w:rsidRPr="00010300">
        <w:rPr>
          <w:rFonts w:ascii="Times New Roman" w:hAnsi="Times New Roman"/>
        </w:rPr>
        <w:t>.</w:t>
      </w:r>
      <w:r w:rsidR="004F017F" w:rsidRPr="004F017F">
        <w:t xml:space="preserve"> </w:t>
      </w:r>
      <w:r w:rsidR="004F017F" w:rsidRPr="004F017F">
        <w:rPr>
          <w:rFonts w:ascii="Times New Roman" w:hAnsi="Times New Roman"/>
        </w:rPr>
        <w:t>W</w:t>
      </w:r>
      <w:r w:rsidR="00E36D67">
        <w:rPr>
          <w:rFonts w:ascii="Times New Roman" w:hAnsi="Times New Roman"/>
        </w:rPr>
        <w:t> </w:t>
      </w:r>
      <w:r w:rsidR="004F017F" w:rsidRPr="004F017F">
        <w:rPr>
          <w:rFonts w:ascii="Times New Roman" w:hAnsi="Times New Roman"/>
        </w:rPr>
        <w:t xml:space="preserve">ust. 9c wskazano na odpowiednie </w:t>
      </w:r>
      <w:r w:rsidR="00E36D67">
        <w:rPr>
          <w:rFonts w:ascii="Times New Roman" w:hAnsi="Times New Roman"/>
        </w:rPr>
        <w:t>za</w:t>
      </w:r>
      <w:r w:rsidR="004F017F" w:rsidRPr="004F017F">
        <w:rPr>
          <w:rFonts w:ascii="Times New Roman" w:hAnsi="Times New Roman"/>
        </w:rPr>
        <w:t>stosowanie ust. 9, 9a i 9b,</w:t>
      </w:r>
      <w:r w:rsidR="00E36D67">
        <w:rPr>
          <w:rFonts w:ascii="Times New Roman" w:hAnsi="Times New Roman"/>
        </w:rPr>
        <w:t xml:space="preserve"> </w:t>
      </w:r>
      <w:r w:rsidR="00126B82">
        <w:rPr>
          <w:rFonts w:ascii="Times New Roman" w:hAnsi="Times New Roman"/>
        </w:rPr>
        <w:t>co oznacza, że zmiany planu finansowego</w:t>
      </w:r>
      <w:r w:rsidR="00E36D67">
        <w:rPr>
          <w:rFonts w:ascii="Times New Roman" w:hAnsi="Times New Roman"/>
        </w:rPr>
        <w:t xml:space="preserve"> funduszu</w:t>
      </w:r>
      <w:r w:rsidR="00126B82">
        <w:rPr>
          <w:rFonts w:ascii="Times New Roman" w:hAnsi="Times New Roman"/>
        </w:rPr>
        <w:t xml:space="preserve">, o których mowa w </w:t>
      </w:r>
      <w:r w:rsidR="00E36D67">
        <w:rPr>
          <w:rFonts w:ascii="Times New Roman" w:hAnsi="Times New Roman"/>
        </w:rPr>
        <w:t xml:space="preserve">przepisach </w:t>
      </w:r>
      <w:r w:rsidR="00126B82">
        <w:rPr>
          <w:rFonts w:ascii="Times New Roman" w:hAnsi="Times New Roman"/>
        </w:rPr>
        <w:t xml:space="preserve">ust. </w:t>
      </w:r>
      <w:r w:rsidR="00E36D67" w:rsidRPr="004F017F">
        <w:rPr>
          <w:rFonts w:ascii="Times New Roman" w:hAnsi="Times New Roman"/>
        </w:rPr>
        <w:t>9, 9a i 9b</w:t>
      </w:r>
      <w:r w:rsidR="00E36D67">
        <w:rPr>
          <w:rFonts w:ascii="Times New Roman" w:hAnsi="Times New Roman"/>
        </w:rPr>
        <w:t xml:space="preserve"> </w:t>
      </w:r>
      <w:r w:rsidR="00126B82">
        <w:rPr>
          <w:rFonts w:ascii="Times New Roman" w:hAnsi="Times New Roman"/>
        </w:rPr>
        <w:t xml:space="preserve">mogą dotyczyć </w:t>
      </w:r>
      <w:r w:rsidR="00E36D67">
        <w:rPr>
          <w:rFonts w:ascii="Times New Roman" w:hAnsi="Times New Roman"/>
        </w:rPr>
        <w:t>również</w:t>
      </w:r>
      <w:r w:rsidR="00126B82">
        <w:rPr>
          <w:rFonts w:ascii="Times New Roman" w:hAnsi="Times New Roman"/>
        </w:rPr>
        <w:t xml:space="preserve"> tworzonych w trakcie roku nowych pozycji </w:t>
      </w:r>
      <w:r w:rsidR="00126B82" w:rsidRPr="005B0152">
        <w:rPr>
          <w:rFonts w:ascii="Times New Roman" w:hAnsi="Times New Roman"/>
        </w:rPr>
        <w:t>przychodów, kosztów, dochodów lub wydatków.</w:t>
      </w:r>
    </w:p>
    <w:p w14:paraId="7B8C0AC6" w14:textId="77777777" w:rsidR="00010300" w:rsidRPr="00010300" w:rsidRDefault="00010300" w:rsidP="00010300">
      <w:pPr>
        <w:spacing w:line="276" w:lineRule="auto"/>
        <w:jc w:val="both"/>
        <w:rPr>
          <w:rFonts w:ascii="Times New Roman" w:hAnsi="Times New Roman"/>
        </w:rPr>
      </w:pPr>
    </w:p>
    <w:p w14:paraId="41CD60C1" w14:textId="1C31CB58" w:rsidR="00746639" w:rsidRDefault="00CB4517" w:rsidP="00010300">
      <w:pPr>
        <w:spacing w:line="276" w:lineRule="auto"/>
        <w:jc w:val="both"/>
        <w:rPr>
          <w:rFonts w:ascii="Times New Roman" w:hAnsi="Times New Roman"/>
        </w:rPr>
      </w:pPr>
      <w:r w:rsidRPr="00010300">
        <w:rPr>
          <w:rFonts w:ascii="Times New Roman" w:hAnsi="Times New Roman"/>
        </w:rPr>
        <w:t xml:space="preserve">Zasadne jest uchylenie regulacji z ust. 12, ze względu na przeniesienie treści tego przepisu do </w:t>
      </w:r>
      <w:r w:rsidR="00B75E51">
        <w:rPr>
          <w:rFonts w:ascii="Times New Roman" w:hAnsi="Times New Roman"/>
        </w:rPr>
        <w:t>innej jednostki redakcyjnej.</w:t>
      </w:r>
    </w:p>
    <w:p w14:paraId="3D52B614" w14:textId="77777777" w:rsidR="00B75E51" w:rsidRPr="00746639" w:rsidRDefault="00B75E51" w:rsidP="00010300">
      <w:pPr>
        <w:spacing w:line="276" w:lineRule="auto"/>
        <w:jc w:val="both"/>
        <w:rPr>
          <w:rFonts w:ascii="Times New Roman" w:hAnsi="Times New Roman"/>
        </w:rPr>
      </w:pPr>
    </w:p>
    <w:p w14:paraId="726D1F28" w14:textId="291FDF34" w:rsidR="00CB4517" w:rsidRDefault="00C15A16" w:rsidP="00B75E51">
      <w:pPr>
        <w:spacing w:before="120" w:line="276" w:lineRule="auto"/>
        <w:jc w:val="both"/>
        <w:rPr>
          <w:rFonts w:ascii="Times New Roman" w:hAnsi="Times New Roman"/>
          <w:b/>
        </w:rPr>
      </w:pPr>
      <w:r>
        <w:rPr>
          <w:rFonts w:ascii="Times New Roman" w:hAnsi="Times New Roman"/>
          <w:b/>
          <w:i/>
        </w:rPr>
        <w:t>z</w:t>
      </w:r>
      <w:r w:rsidR="00080647">
        <w:rPr>
          <w:rFonts w:ascii="Times New Roman" w:hAnsi="Times New Roman"/>
          <w:b/>
          <w:i/>
        </w:rPr>
        <w:t>miana</w:t>
      </w:r>
      <w:r>
        <w:rPr>
          <w:rFonts w:ascii="Times New Roman" w:hAnsi="Times New Roman"/>
          <w:b/>
          <w:i/>
        </w:rPr>
        <w:t xml:space="preserve"> </w:t>
      </w:r>
      <w:r w:rsidR="00CB4517" w:rsidRPr="008E5FB3">
        <w:rPr>
          <w:rFonts w:ascii="Times New Roman" w:hAnsi="Times New Roman"/>
          <w:b/>
          <w:i/>
        </w:rPr>
        <w:t>art. 30 ust. 4, art. 122 ust. 1 pkt 1 lit. d, art. 123 ust. 4, art. 182 ust. 3 pkt 6</w:t>
      </w:r>
      <w:r w:rsidR="00CB4517" w:rsidRPr="008E5FB3">
        <w:rPr>
          <w:rFonts w:ascii="Times New Roman" w:hAnsi="Times New Roman"/>
          <w:b/>
        </w:rPr>
        <w:t xml:space="preserve"> </w:t>
      </w:r>
    </w:p>
    <w:p w14:paraId="70033671" w14:textId="77777777" w:rsidR="00B75E51" w:rsidRPr="008E5FB3" w:rsidRDefault="00B75E51" w:rsidP="00B75E51">
      <w:pPr>
        <w:spacing w:line="276" w:lineRule="auto"/>
        <w:jc w:val="both"/>
        <w:rPr>
          <w:rFonts w:ascii="Times New Roman" w:hAnsi="Times New Roman"/>
          <w:b/>
        </w:rPr>
      </w:pPr>
    </w:p>
    <w:p w14:paraId="5F513AB0" w14:textId="77777777" w:rsidR="00CB4517" w:rsidRDefault="00CB4517" w:rsidP="00713591">
      <w:pPr>
        <w:spacing w:before="120" w:line="276" w:lineRule="auto"/>
        <w:jc w:val="both"/>
        <w:rPr>
          <w:rFonts w:ascii="Times New Roman" w:hAnsi="Times New Roman"/>
        </w:rPr>
      </w:pPr>
      <w:r w:rsidRPr="008E5FB3">
        <w:rPr>
          <w:rFonts w:ascii="Times New Roman" w:hAnsi="Times New Roman"/>
        </w:rPr>
        <w:t xml:space="preserve">Nowelizacja wymienionych przepisów stanowi blok zmian sankcjonujący obowiązki dotyczące sporządzania projektów planów finansowych, sprawozdań z wykonania planu i ich treści, które </w:t>
      </w:r>
      <w:r w:rsidRPr="008E5FB3">
        <w:rPr>
          <w:rFonts w:ascii="Times New Roman" w:hAnsi="Times New Roman"/>
          <w:i/>
        </w:rPr>
        <w:t>de facto</w:t>
      </w:r>
      <w:r w:rsidRPr="008E5FB3">
        <w:rPr>
          <w:rFonts w:ascii="Times New Roman" w:hAnsi="Times New Roman"/>
        </w:rPr>
        <w:t xml:space="preserve"> Zakład Ubezpieczeń Społecznych już wykonuje. Zdecydowano zatem o ujednoliceniu brzmienia regulacji związanych z realizowaniem tych obowiązków przez ZUS.</w:t>
      </w:r>
    </w:p>
    <w:p w14:paraId="4A456733" w14:textId="77777777" w:rsidR="00CB4517" w:rsidRPr="008E5FB3" w:rsidRDefault="00CB4517" w:rsidP="00713591">
      <w:pPr>
        <w:spacing w:line="276" w:lineRule="auto"/>
        <w:jc w:val="both"/>
        <w:rPr>
          <w:rFonts w:ascii="Times New Roman" w:hAnsi="Times New Roman"/>
        </w:rPr>
      </w:pPr>
    </w:p>
    <w:p w14:paraId="64535B1A" w14:textId="46C2A1BC" w:rsidR="00CB4517" w:rsidRDefault="00CB4517" w:rsidP="00B75E51">
      <w:pPr>
        <w:spacing w:before="120" w:line="276" w:lineRule="auto"/>
        <w:jc w:val="both"/>
        <w:rPr>
          <w:rFonts w:ascii="Times New Roman" w:hAnsi="Times New Roman"/>
          <w:b/>
          <w:i/>
        </w:rPr>
      </w:pPr>
      <w:r w:rsidRPr="008E5FB3">
        <w:rPr>
          <w:rFonts w:ascii="Times New Roman" w:hAnsi="Times New Roman"/>
          <w:b/>
          <w:i/>
        </w:rPr>
        <w:t>zmian</w:t>
      </w:r>
      <w:r w:rsidR="00080647">
        <w:rPr>
          <w:rFonts w:ascii="Times New Roman" w:hAnsi="Times New Roman"/>
          <w:b/>
          <w:i/>
        </w:rPr>
        <w:t>a</w:t>
      </w:r>
      <w:r w:rsidRPr="008E5FB3">
        <w:rPr>
          <w:rFonts w:ascii="Times New Roman" w:hAnsi="Times New Roman"/>
          <w:b/>
          <w:i/>
        </w:rPr>
        <w:t xml:space="preserve"> w art. 31</w:t>
      </w:r>
    </w:p>
    <w:p w14:paraId="33C38CF4" w14:textId="77777777" w:rsidR="00B75E51" w:rsidRPr="00B75E51" w:rsidRDefault="00B75E51" w:rsidP="00B75E51">
      <w:pPr>
        <w:spacing w:line="276" w:lineRule="auto"/>
        <w:jc w:val="both"/>
        <w:rPr>
          <w:rFonts w:ascii="Times New Roman" w:hAnsi="Times New Roman"/>
          <w:b/>
          <w:i/>
        </w:rPr>
      </w:pPr>
    </w:p>
    <w:p w14:paraId="6CDAD8B2" w14:textId="25FC03A6" w:rsidR="00CB4517" w:rsidRPr="008E5FB3" w:rsidRDefault="00CB4517" w:rsidP="00713591">
      <w:pPr>
        <w:spacing w:line="276" w:lineRule="auto"/>
        <w:jc w:val="both"/>
        <w:rPr>
          <w:rFonts w:ascii="Times New Roman" w:hAnsi="Times New Roman"/>
          <w:bCs/>
        </w:rPr>
      </w:pPr>
      <w:r w:rsidRPr="008E5FB3">
        <w:rPr>
          <w:rFonts w:ascii="Times New Roman" w:hAnsi="Times New Roman"/>
        </w:rPr>
        <w:t>Zdecydowano o zmianie i doprecyzowaniu brzmienia wprowadzenia do wyliczenia w art. 31, wskazując, że jednostki, o których mowa w art. 30 ust. 1 wyodrębniają w planach finansowych „w szczególności”</w:t>
      </w:r>
      <w:r w:rsidR="003E5B1D">
        <w:rPr>
          <w:rFonts w:ascii="Times New Roman" w:hAnsi="Times New Roman"/>
        </w:rPr>
        <w:t xml:space="preserve"> wymienione pozycje</w:t>
      </w:r>
      <w:r w:rsidRPr="008E5FB3">
        <w:rPr>
          <w:rFonts w:ascii="Times New Roman" w:hAnsi="Times New Roman"/>
        </w:rPr>
        <w:t>. Przepis ma na celu wskazanie, że zawartość rocznego planu finansowego ww. jednostek nie stanowi katalogu zamkniętego – tj.</w:t>
      </w:r>
      <w:r w:rsidR="00D354F9">
        <w:rPr>
          <w:rFonts w:ascii="Times New Roman" w:hAnsi="Times New Roman"/>
        </w:rPr>
        <w:t> </w:t>
      </w:r>
      <w:r w:rsidRPr="008E5FB3">
        <w:rPr>
          <w:rFonts w:ascii="Times New Roman" w:hAnsi="Times New Roman"/>
        </w:rPr>
        <w:t xml:space="preserve">plan może obejmować również inne pozycje niż wymienione w tym przepisie. </w:t>
      </w:r>
    </w:p>
    <w:p w14:paraId="22B82638" w14:textId="77777777" w:rsidR="00CB4517" w:rsidRPr="008E5FB3" w:rsidRDefault="00CB4517" w:rsidP="00713591">
      <w:pPr>
        <w:spacing w:line="276" w:lineRule="auto"/>
        <w:jc w:val="both"/>
        <w:rPr>
          <w:rFonts w:ascii="Times New Roman" w:hAnsi="Times New Roman"/>
          <w:bCs/>
        </w:rPr>
      </w:pPr>
    </w:p>
    <w:p w14:paraId="0D9EE812" w14:textId="6E409146" w:rsidR="00CB4517" w:rsidRPr="008E5FB3" w:rsidRDefault="00CB4517" w:rsidP="00713591">
      <w:pPr>
        <w:spacing w:line="276" w:lineRule="auto"/>
        <w:jc w:val="both"/>
        <w:rPr>
          <w:rFonts w:ascii="Times New Roman" w:hAnsi="Times New Roman"/>
        </w:rPr>
      </w:pPr>
      <w:r w:rsidRPr="008E5FB3">
        <w:rPr>
          <w:rFonts w:ascii="Times New Roman" w:hAnsi="Times New Roman"/>
          <w:bCs/>
        </w:rPr>
        <w:t>Szczegółowy zakres danych jakie powinny zawierać projekty planów finansowych państwowych osób prawnych wynika z </w:t>
      </w:r>
      <w:r w:rsidRPr="00994718">
        <w:rPr>
          <w:rFonts w:ascii="Times New Roman" w:hAnsi="Times New Roman"/>
          <w:bCs/>
        </w:rPr>
        <w:t>rozporządzenia Ministra Finansów z dnia 2</w:t>
      </w:r>
      <w:r w:rsidR="009B6D35">
        <w:rPr>
          <w:rFonts w:ascii="Times New Roman" w:hAnsi="Times New Roman"/>
          <w:bCs/>
        </w:rPr>
        <w:t xml:space="preserve">1 marca 2022 r. </w:t>
      </w:r>
      <w:r w:rsidRPr="008E5FB3">
        <w:rPr>
          <w:rFonts w:ascii="Times New Roman" w:hAnsi="Times New Roman"/>
          <w:bCs/>
          <w:i/>
        </w:rPr>
        <w:t xml:space="preserve">w sprawie szczegółowego sposobu, trybu i terminów opracowania materiałów do projektu ustawy budżetowej </w:t>
      </w:r>
      <w:r w:rsidRPr="00994718">
        <w:rPr>
          <w:rFonts w:ascii="Times New Roman" w:hAnsi="Times New Roman"/>
          <w:bCs/>
        </w:rPr>
        <w:t>(Dz. U</w:t>
      </w:r>
      <w:r w:rsidR="009B6D35">
        <w:rPr>
          <w:rFonts w:ascii="Times New Roman" w:hAnsi="Times New Roman"/>
          <w:bCs/>
        </w:rPr>
        <w:t xml:space="preserve">. </w:t>
      </w:r>
      <w:r w:rsidRPr="00994718">
        <w:rPr>
          <w:rFonts w:ascii="Times New Roman" w:hAnsi="Times New Roman"/>
          <w:bCs/>
        </w:rPr>
        <w:t xml:space="preserve">poz. </w:t>
      </w:r>
      <w:r w:rsidR="00D6187D">
        <w:rPr>
          <w:rFonts w:ascii="Times New Roman" w:hAnsi="Times New Roman"/>
          <w:bCs/>
        </w:rPr>
        <w:t>74</w:t>
      </w:r>
      <w:r w:rsidR="009B6D35">
        <w:rPr>
          <w:rFonts w:ascii="Times New Roman" w:hAnsi="Times New Roman"/>
          <w:bCs/>
        </w:rPr>
        <w:t>5</w:t>
      </w:r>
      <w:r w:rsidRPr="00994718">
        <w:rPr>
          <w:rFonts w:ascii="Times New Roman" w:hAnsi="Times New Roman"/>
          <w:bCs/>
        </w:rPr>
        <w:t>)</w:t>
      </w:r>
      <w:r w:rsidRPr="008E5FB3">
        <w:rPr>
          <w:rFonts w:ascii="Times New Roman" w:hAnsi="Times New Roman"/>
          <w:bCs/>
        </w:rPr>
        <w:t>.</w:t>
      </w:r>
    </w:p>
    <w:p w14:paraId="2439B715" w14:textId="650808EE" w:rsidR="00CB4517" w:rsidRPr="008E5FB3" w:rsidRDefault="00CB4517" w:rsidP="00713591">
      <w:pPr>
        <w:spacing w:before="120" w:line="276" w:lineRule="auto"/>
        <w:jc w:val="both"/>
        <w:rPr>
          <w:rFonts w:ascii="Times New Roman" w:hAnsi="Times New Roman"/>
        </w:rPr>
      </w:pPr>
      <w:r w:rsidRPr="008E5FB3">
        <w:rPr>
          <w:rFonts w:ascii="Times New Roman" w:hAnsi="Times New Roman"/>
        </w:rPr>
        <w:t>Ponadto zdecydowano o</w:t>
      </w:r>
      <w:r w:rsidR="00272FAB">
        <w:rPr>
          <w:rFonts w:ascii="Times New Roman" w:hAnsi="Times New Roman"/>
        </w:rPr>
        <w:t xml:space="preserve"> z</w:t>
      </w:r>
      <w:r w:rsidR="00D82CA9">
        <w:rPr>
          <w:rFonts w:ascii="Times New Roman" w:hAnsi="Times New Roman"/>
        </w:rPr>
        <w:t>mianie brzmienia pkt 3 lit. a</w:t>
      </w:r>
      <w:r w:rsidR="00272FAB">
        <w:rPr>
          <w:rFonts w:ascii="Times New Roman" w:hAnsi="Times New Roman"/>
        </w:rPr>
        <w:t xml:space="preserve"> i zaproponowano użycie </w:t>
      </w:r>
      <w:r w:rsidRPr="008E5FB3">
        <w:rPr>
          <w:rFonts w:ascii="Times New Roman" w:hAnsi="Times New Roman"/>
        </w:rPr>
        <w:t>sformułowania „</w:t>
      </w:r>
      <w:r w:rsidR="00994718">
        <w:rPr>
          <w:rFonts w:ascii="Times New Roman" w:hAnsi="Times New Roman"/>
        </w:rPr>
        <w:t>uposaże</w:t>
      </w:r>
      <w:r w:rsidR="00272FAB">
        <w:rPr>
          <w:rFonts w:ascii="Times New Roman" w:hAnsi="Times New Roman"/>
        </w:rPr>
        <w:t>nia</w:t>
      </w:r>
      <w:r w:rsidR="00994718" w:rsidRPr="008E5FB3">
        <w:rPr>
          <w:rFonts w:ascii="Times New Roman" w:hAnsi="Times New Roman"/>
        </w:rPr>
        <w:t xml:space="preserve"> </w:t>
      </w:r>
      <w:r w:rsidR="00994718">
        <w:rPr>
          <w:rFonts w:ascii="Times New Roman" w:hAnsi="Times New Roman"/>
        </w:rPr>
        <w:t xml:space="preserve">i </w:t>
      </w:r>
      <w:r w:rsidRPr="008E5FB3">
        <w:rPr>
          <w:rFonts w:ascii="Times New Roman" w:hAnsi="Times New Roman"/>
        </w:rPr>
        <w:t>wynagrodze</w:t>
      </w:r>
      <w:r w:rsidR="00272FAB">
        <w:rPr>
          <w:rFonts w:ascii="Times New Roman" w:hAnsi="Times New Roman"/>
        </w:rPr>
        <w:t>nia</w:t>
      </w:r>
      <w:r w:rsidRPr="008E5FB3">
        <w:rPr>
          <w:rFonts w:ascii="Times New Roman" w:hAnsi="Times New Roman"/>
        </w:rPr>
        <w:t xml:space="preserve"> ze stosunku pracy</w:t>
      </w:r>
      <w:r w:rsidR="00272FAB">
        <w:rPr>
          <w:rFonts w:ascii="Times New Roman" w:hAnsi="Times New Roman"/>
        </w:rPr>
        <w:t xml:space="preserve"> oraz składki od nich naliczane</w:t>
      </w:r>
      <w:r w:rsidRPr="008E5FB3">
        <w:rPr>
          <w:rFonts w:ascii="Times New Roman" w:hAnsi="Times New Roman"/>
        </w:rPr>
        <w:t>”.</w:t>
      </w:r>
    </w:p>
    <w:p w14:paraId="1B463023" w14:textId="77777777" w:rsidR="00982856" w:rsidRDefault="00982856" w:rsidP="00B75E51">
      <w:pPr>
        <w:spacing w:line="276" w:lineRule="auto"/>
        <w:jc w:val="both"/>
        <w:rPr>
          <w:rFonts w:ascii="Times New Roman" w:hAnsi="Times New Roman"/>
        </w:rPr>
      </w:pPr>
    </w:p>
    <w:p w14:paraId="3ACE146B" w14:textId="0EB7F0B9" w:rsidR="00982856" w:rsidRDefault="005F4697" w:rsidP="00713591">
      <w:pPr>
        <w:spacing w:before="120" w:line="276" w:lineRule="auto"/>
        <w:jc w:val="both"/>
        <w:rPr>
          <w:rFonts w:ascii="Times New Roman" w:hAnsi="Times New Roman"/>
          <w:b/>
          <w:i/>
        </w:rPr>
      </w:pPr>
      <w:r>
        <w:rPr>
          <w:rFonts w:ascii="Times New Roman" w:hAnsi="Times New Roman"/>
          <w:b/>
          <w:i/>
        </w:rPr>
        <w:t>dodanie art. 31a</w:t>
      </w:r>
    </w:p>
    <w:p w14:paraId="05C6C555" w14:textId="77777777" w:rsidR="0040649E" w:rsidRDefault="0040649E" w:rsidP="00713591">
      <w:pPr>
        <w:spacing w:line="276" w:lineRule="auto"/>
        <w:jc w:val="both"/>
        <w:rPr>
          <w:rFonts w:ascii="Times New Roman" w:hAnsi="Times New Roman"/>
          <w:b/>
          <w:i/>
        </w:rPr>
      </w:pPr>
    </w:p>
    <w:p w14:paraId="544DC8B6" w14:textId="1A79C9F0" w:rsidR="00A93803" w:rsidRPr="00A93803" w:rsidRDefault="0040649E" w:rsidP="00A93803">
      <w:pPr>
        <w:spacing w:line="276" w:lineRule="auto"/>
        <w:jc w:val="both"/>
        <w:rPr>
          <w:rFonts w:ascii="Times New Roman" w:hAnsi="Times New Roman"/>
        </w:rPr>
      </w:pPr>
      <w:r>
        <w:rPr>
          <w:rFonts w:ascii="Times New Roman" w:hAnsi="Times New Roman"/>
        </w:rPr>
        <w:t xml:space="preserve">Zaproponowano </w:t>
      </w:r>
      <w:r w:rsidR="00A93803">
        <w:rPr>
          <w:rFonts w:ascii="Times New Roman" w:hAnsi="Times New Roman"/>
        </w:rPr>
        <w:t>nowy przepis</w:t>
      </w:r>
      <w:r>
        <w:rPr>
          <w:rFonts w:ascii="Times New Roman" w:hAnsi="Times New Roman"/>
        </w:rPr>
        <w:t>, zgodnie z któr</w:t>
      </w:r>
      <w:r w:rsidR="00A93803">
        <w:rPr>
          <w:rFonts w:ascii="Times New Roman" w:hAnsi="Times New Roman"/>
        </w:rPr>
        <w:t>ym</w:t>
      </w:r>
      <w:r>
        <w:rPr>
          <w:rFonts w:ascii="Times New Roman" w:hAnsi="Times New Roman"/>
        </w:rPr>
        <w:t xml:space="preserve"> w przypadku</w:t>
      </w:r>
      <w:r w:rsidR="00A93803">
        <w:rPr>
          <w:rFonts w:ascii="Times New Roman" w:hAnsi="Times New Roman"/>
        </w:rPr>
        <w:t>:</w:t>
      </w:r>
      <w:r>
        <w:rPr>
          <w:rFonts w:ascii="Times New Roman" w:hAnsi="Times New Roman"/>
        </w:rPr>
        <w:t xml:space="preserve"> agencji wykonawczych, instytucji</w:t>
      </w:r>
      <w:r w:rsidR="00982856" w:rsidRPr="00982856">
        <w:rPr>
          <w:rFonts w:ascii="Times New Roman" w:hAnsi="Times New Roman"/>
        </w:rPr>
        <w:t xml:space="preserve"> gospodarki budżetowej, państwowych </w:t>
      </w:r>
      <w:r>
        <w:rPr>
          <w:rFonts w:ascii="Times New Roman" w:hAnsi="Times New Roman"/>
        </w:rPr>
        <w:t>funduszy celowych oraz państwowych</w:t>
      </w:r>
      <w:r w:rsidR="00982856" w:rsidRPr="00982856">
        <w:rPr>
          <w:rFonts w:ascii="Times New Roman" w:hAnsi="Times New Roman"/>
        </w:rPr>
        <w:t xml:space="preserve"> os</w:t>
      </w:r>
      <w:r>
        <w:rPr>
          <w:rFonts w:ascii="Times New Roman" w:hAnsi="Times New Roman"/>
        </w:rPr>
        <w:t>ób prawnych</w:t>
      </w:r>
      <w:r w:rsidR="00982856" w:rsidRPr="00982856">
        <w:rPr>
          <w:rFonts w:ascii="Times New Roman" w:hAnsi="Times New Roman"/>
        </w:rPr>
        <w:t>, o których mowa w art. 9 pkt</w:t>
      </w:r>
      <w:r>
        <w:rPr>
          <w:rFonts w:ascii="Times New Roman" w:hAnsi="Times New Roman"/>
        </w:rPr>
        <w:t xml:space="preserve"> 14, w sytuacji</w:t>
      </w:r>
      <w:r w:rsidR="00982856" w:rsidRPr="00982856">
        <w:rPr>
          <w:rFonts w:ascii="Times New Roman" w:hAnsi="Times New Roman"/>
        </w:rPr>
        <w:t xml:space="preserve"> </w:t>
      </w:r>
      <w:r w:rsidR="003F71CD">
        <w:rPr>
          <w:rFonts w:ascii="Times New Roman" w:hAnsi="Times New Roman"/>
        </w:rPr>
        <w:t>gdy jednostka</w:t>
      </w:r>
      <w:r w:rsidR="00982856" w:rsidRPr="00982856">
        <w:rPr>
          <w:rFonts w:ascii="Times New Roman" w:hAnsi="Times New Roman"/>
        </w:rPr>
        <w:t xml:space="preserve"> sektora finansów </w:t>
      </w:r>
      <w:r w:rsidR="00982856" w:rsidRPr="00982856">
        <w:rPr>
          <w:rFonts w:ascii="Times New Roman" w:hAnsi="Times New Roman"/>
        </w:rPr>
        <w:lastRenderedPageBreak/>
        <w:t>publiczn</w:t>
      </w:r>
      <w:r w:rsidR="00982856">
        <w:rPr>
          <w:rFonts w:ascii="Times New Roman" w:hAnsi="Times New Roman"/>
        </w:rPr>
        <w:t>ych</w:t>
      </w:r>
      <w:r w:rsidR="003F71CD">
        <w:rPr>
          <w:rFonts w:ascii="Times New Roman" w:hAnsi="Times New Roman"/>
        </w:rPr>
        <w:t xml:space="preserve"> zostaje utworzona w trakcie roku budżetowego</w:t>
      </w:r>
      <w:r w:rsidR="00A93803">
        <w:rPr>
          <w:rFonts w:ascii="Times New Roman" w:hAnsi="Times New Roman"/>
        </w:rPr>
        <w:t xml:space="preserve"> </w:t>
      </w:r>
      <w:r w:rsidR="00A93803" w:rsidRPr="00A93803">
        <w:rPr>
          <w:rFonts w:ascii="Times New Roman" w:hAnsi="Times New Roman"/>
        </w:rPr>
        <w:t>odpowiednio kierownik jednostki, albo dysponent państwowego funduszu celowego, oprac</w:t>
      </w:r>
      <w:r w:rsidR="00C934C9">
        <w:rPr>
          <w:rFonts w:ascii="Times New Roman" w:hAnsi="Times New Roman"/>
        </w:rPr>
        <w:t>owuje pierwszy plan finansowy w </w:t>
      </w:r>
      <w:r w:rsidR="00A93803" w:rsidRPr="00A93803">
        <w:rPr>
          <w:rFonts w:ascii="Times New Roman" w:hAnsi="Times New Roman"/>
        </w:rPr>
        <w:t>porozumieniu</w:t>
      </w:r>
      <w:r w:rsidR="00DF3D66">
        <w:rPr>
          <w:rFonts w:ascii="Times New Roman" w:hAnsi="Times New Roman"/>
        </w:rPr>
        <w:t xml:space="preserve"> z organem</w:t>
      </w:r>
      <w:r w:rsidR="00C934C9">
        <w:rPr>
          <w:rFonts w:ascii="Times New Roman" w:hAnsi="Times New Roman"/>
        </w:rPr>
        <w:t xml:space="preserve"> sprawującym</w:t>
      </w:r>
      <w:r w:rsidR="00A93803" w:rsidRPr="00A93803">
        <w:rPr>
          <w:rFonts w:ascii="Times New Roman" w:hAnsi="Times New Roman"/>
        </w:rPr>
        <w:t xml:space="preserve"> nadzór</w:t>
      </w:r>
      <w:r w:rsidR="00C934C9">
        <w:rPr>
          <w:rFonts w:ascii="Times New Roman" w:hAnsi="Times New Roman"/>
        </w:rPr>
        <w:t xml:space="preserve"> nad jednostką</w:t>
      </w:r>
      <w:r w:rsidR="00A93803" w:rsidRPr="00A93803">
        <w:rPr>
          <w:rFonts w:ascii="Times New Roman" w:hAnsi="Times New Roman"/>
        </w:rPr>
        <w:t xml:space="preserve"> albo dysponent</w:t>
      </w:r>
      <w:r w:rsidR="00C934C9">
        <w:rPr>
          <w:rFonts w:ascii="Times New Roman" w:hAnsi="Times New Roman"/>
        </w:rPr>
        <w:t>em funduszu</w:t>
      </w:r>
      <w:r w:rsidR="00A93803" w:rsidRPr="00A93803">
        <w:rPr>
          <w:rFonts w:ascii="Times New Roman" w:hAnsi="Times New Roman"/>
        </w:rPr>
        <w:t>.</w:t>
      </w:r>
      <w:r w:rsidR="00A93803">
        <w:rPr>
          <w:rFonts w:ascii="Times New Roman" w:hAnsi="Times New Roman"/>
        </w:rPr>
        <w:t xml:space="preserve"> </w:t>
      </w:r>
      <w:r w:rsidR="00A166FA">
        <w:rPr>
          <w:rFonts w:ascii="Times New Roman" w:hAnsi="Times New Roman"/>
        </w:rPr>
        <w:t>Następnie</w:t>
      </w:r>
      <w:r w:rsidR="00982856" w:rsidRPr="00982856">
        <w:rPr>
          <w:rFonts w:ascii="Times New Roman" w:hAnsi="Times New Roman"/>
        </w:rPr>
        <w:t>,</w:t>
      </w:r>
      <w:r>
        <w:rPr>
          <w:rFonts w:ascii="Times New Roman" w:hAnsi="Times New Roman"/>
        </w:rPr>
        <w:t xml:space="preserve"> </w:t>
      </w:r>
      <w:r w:rsidR="00002087">
        <w:rPr>
          <w:rFonts w:ascii="Times New Roman" w:hAnsi="Times New Roman"/>
        </w:rPr>
        <w:t>ko</w:t>
      </w:r>
      <w:r>
        <w:rPr>
          <w:rFonts w:ascii="Times New Roman" w:hAnsi="Times New Roman"/>
        </w:rPr>
        <w:t xml:space="preserve">nieczne jest </w:t>
      </w:r>
      <w:r w:rsidR="00A93803">
        <w:rPr>
          <w:rFonts w:ascii="Times New Roman" w:hAnsi="Times New Roman"/>
        </w:rPr>
        <w:t>uzgodnienie przez</w:t>
      </w:r>
      <w:r w:rsidR="00A93803" w:rsidRPr="00A93803">
        <w:rPr>
          <w:rFonts w:ascii="Times New Roman" w:hAnsi="Times New Roman"/>
        </w:rPr>
        <w:t xml:space="preserve"> kierownika jednostki albo dysponenta państwowego funduszu celowego</w:t>
      </w:r>
      <w:r w:rsidR="00A93803">
        <w:rPr>
          <w:rFonts w:ascii="Times New Roman" w:hAnsi="Times New Roman"/>
        </w:rPr>
        <w:t xml:space="preserve"> ww. planu z Ministrem Finansów oraz </w:t>
      </w:r>
      <w:r>
        <w:rPr>
          <w:rFonts w:ascii="Times New Roman" w:hAnsi="Times New Roman"/>
        </w:rPr>
        <w:t>wystąpienie</w:t>
      </w:r>
      <w:r w:rsidR="00982856" w:rsidRPr="00982856">
        <w:rPr>
          <w:rFonts w:ascii="Times New Roman" w:hAnsi="Times New Roman"/>
        </w:rPr>
        <w:t xml:space="preserve"> do sejmowej komisji właściwej do sp</w:t>
      </w:r>
      <w:r>
        <w:rPr>
          <w:rFonts w:ascii="Times New Roman" w:hAnsi="Times New Roman"/>
        </w:rPr>
        <w:t>raw budżetu</w:t>
      </w:r>
      <w:r w:rsidR="00A93803" w:rsidRPr="00A93803">
        <w:rPr>
          <w:rFonts w:ascii="Times New Roman" w:hAnsi="Times New Roman"/>
        </w:rPr>
        <w:t xml:space="preserve"> w celem zaopiniowania planu przez komisję. </w:t>
      </w:r>
    </w:p>
    <w:p w14:paraId="4582368D" w14:textId="011A089C" w:rsidR="00A93803" w:rsidRDefault="00A93803" w:rsidP="00713591">
      <w:pPr>
        <w:spacing w:line="276" w:lineRule="auto"/>
        <w:jc w:val="both"/>
        <w:rPr>
          <w:rFonts w:ascii="Times New Roman" w:hAnsi="Times New Roman"/>
        </w:rPr>
      </w:pPr>
    </w:p>
    <w:p w14:paraId="27111AF0" w14:textId="4EEF5933" w:rsidR="00982856" w:rsidRPr="00FB1B16" w:rsidRDefault="005D62C2" w:rsidP="003444BE">
      <w:pPr>
        <w:spacing w:line="276" w:lineRule="auto"/>
        <w:jc w:val="both"/>
        <w:rPr>
          <w:rFonts w:ascii="Times New Roman" w:hAnsi="Times New Roman"/>
        </w:rPr>
      </w:pPr>
      <w:r>
        <w:rPr>
          <w:rFonts w:ascii="Times New Roman" w:hAnsi="Times New Roman"/>
        </w:rPr>
        <w:t>Przepis obejmuje wymienione wyżej jednostki sektora finansów publicznych, w tym znajduje zastosowanie do państwowych osób prawnych</w:t>
      </w:r>
      <w:r w:rsidRPr="00982856">
        <w:rPr>
          <w:rFonts w:ascii="Times New Roman" w:hAnsi="Times New Roman"/>
        </w:rPr>
        <w:t>, o których mowa w art. 9 pkt</w:t>
      </w:r>
      <w:r>
        <w:rPr>
          <w:rFonts w:ascii="Times New Roman" w:hAnsi="Times New Roman"/>
        </w:rPr>
        <w:t xml:space="preserve"> 14 – mając m.in. na uwadze fakt, że w załącznikach do ustawy budżetowej zamieszcza się plany finansowe tych jednostek. </w:t>
      </w:r>
      <w:r w:rsidR="003444BE" w:rsidRPr="003444BE">
        <w:rPr>
          <w:rFonts w:ascii="Times New Roman" w:hAnsi="Times New Roman"/>
        </w:rPr>
        <w:t>Celem przepisu jest uregulowanie procedury ustalenia</w:t>
      </w:r>
      <w:r>
        <w:rPr>
          <w:rFonts w:ascii="Times New Roman" w:hAnsi="Times New Roman"/>
        </w:rPr>
        <w:t xml:space="preserve"> (</w:t>
      </w:r>
      <w:r w:rsidR="003444BE" w:rsidRPr="003444BE">
        <w:rPr>
          <w:rFonts w:ascii="Times New Roman" w:hAnsi="Times New Roman"/>
        </w:rPr>
        <w:t>uchwalenia</w:t>
      </w:r>
      <w:r>
        <w:rPr>
          <w:rFonts w:ascii="Times New Roman" w:hAnsi="Times New Roman"/>
        </w:rPr>
        <w:t>)</w:t>
      </w:r>
      <w:r w:rsidR="003444BE" w:rsidRPr="003444BE">
        <w:rPr>
          <w:rFonts w:ascii="Times New Roman" w:hAnsi="Times New Roman"/>
        </w:rPr>
        <w:t xml:space="preserve"> pierwszego planu finansowego </w:t>
      </w:r>
      <w:r>
        <w:rPr>
          <w:rFonts w:ascii="Times New Roman" w:hAnsi="Times New Roman"/>
        </w:rPr>
        <w:t xml:space="preserve">takiej </w:t>
      </w:r>
      <w:r w:rsidR="003444BE" w:rsidRPr="003444BE">
        <w:rPr>
          <w:rFonts w:ascii="Times New Roman" w:hAnsi="Times New Roman"/>
        </w:rPr>
        <w:t>jednostki</w:t>
      </w:r>
      <w:r>
        <w:rPr>
          <w:rFonts w:ascii="Times New Roman" w:hAnsi="Times New Roman"/>
        </w:rPr>
        <w:t xml:space="preserve"> </w:t>
      </w:r>
      <w:r w:rsidR="003444BE" w:rsidRPr="003444BE">
        <w:rPr>
          <w:rFonts w:ascii="Times New Roman" w:hAnsi="Times New Roman"/>
        </w:rPr>
        <w:t>utworzon</w:t>
      </w:r>
      <w:r>
        <w:rPr>
          <w:rFonts w:ascii="Times New Roman" w:hAnsi="Times New Roman"/>
        </w:rPr>
        <w:t>ej</w:t>
      </w:r>
      <w:r w:rsidR="003444BE" w:rsidRPr="003444BE">
        <w:rPr>
          <w:rFonts w:ascii="Times New Roman" w:hAnsi="Times New Roman"/>
        </w:rPr>
        <w:t xml:space="preserve"> w trakcie roku budżetowego</w:t>
      </w:r>
      <w:r>
        <w:rPr>
          <w:rFonts w:ascii="Times New Roman" w:hAnsi="Times New Roman"/>
        </w:rPr>
        <w:t>.</w:t>
      </w:r>
      <w:r w:rsidR="003444BE" w:rsidRPr="003444BE">
        <w:rPr>
          <w:rFonts w:ascii="Times New Roman" w:hAnsi="Times New Roman"/>
        </w:rPr>
        <w:t xml:space="preserve"> </w:t>
      </w:r>
      <w:r>
        <w:rPr>
          <w:rFonts w:ascii="Times New Roman" w:hAnsi="Times New Roman"/>
        </w:rPr>
        <w:t>P</w:t>
      </w:r>
      <w:r w:rsidR="003444BE" w:rsidRPr="003444BE">
        <w:rPr>
          <w:rFonts w:ascii="Times New Roman" w:hAnsi="Times New Roman"/>
        </w:rPr>
        <w:t xml:space="preserve">lan finansowy nie jest </w:t>
      </w:r>
      <w:r>
        <w:rPr>
          <w:rFonts w:ascii="Times New Roman" w:hAnsi="Times New Roman"/>
        </w:rPr>
        <w:t xml:space="preserve">bowiem </w:t>
      </w:r>
      <w:r w:rsidR="003444BE" w:rsidRPr="003444BE">
        <w:rPr>
          <w:rFonts w:ascii="Times New Roman" w:hAnsi="Times New Roman"/>
        </w:rPr>
        <w:t xml:space="preserve">w takim przypadku ujęty w ustawie budżetowej. Kwestie </w:t>
      </w:r>
      <w:r>
        <w:rPr>
          <w:rFonts w:ascii="Times New Roman" w:hAnsi="Times New Roman"/>
        </w:rPr>
        <w:t xml:space="preserve">dotyczące </w:t>
      </w:r>
      <w:r w:rsidR="003444BE" w:rsidRPr="003444BE">
        <w:rPr>
          <w:rFonts w:ascii="Times New Roman" w:hAnsi="Times New Roman"/>
        </w:rPr>
        <w:t xml:space="preserve">sporządzania </w:t>
      </w:r>
      <w:r>
        <w:rPr>
          <w:rFonts w:ascii="Times New Roman" w:hAnsi="Times New Roman"/>
        </w:rPr>
        <w:t>i</w:t>
      </w:r>
      <w:r w:rsidR="003444BE" w:rsidRPr="003444BE">
        <w:rPr>
          <w:rFonts w:ascii="Times New Roman" w:hAnsi="Times New Roman"/>
        </w:rPr>
        <w:t xml:space="preserve"> elementów</w:t>
      </w:r>
      <w:r>
        <w:rPr>
          <w:rFonts w:ascii="Times New Roman" w:hAnsi="Times New Roman"/>
        </w:rPr>
        <w:t>, z których powinny składać się</w:t>
      </w:r>
      <w:r w:rsidR="003444BE" w:rsidRPr="003444BE">
        <w:rPr>
          <w:rFonts w:ascii="Times New Roman" w:hAnsi="Times New Roman"/>
        </w:rPr>
        <w:t xml:space="preserve"> plan</w:t>
      </w:r>
      <w:r>
        <w:rPr>
          <w:rFonts w:ascii="Times New Roman" w:hAnsi="Times New Roman"/>
        </w:rPr>
        <w:t>y</w:t>
      </w:r>
      <w:r w:rsidR="003444BE" w:rsidRPr="003444BE">
        <w:rPr>
          <w:rFonts w:ascii="Times New Roman" w:hAnsi="Times New Roman"/>
        </w:rPr>
        <w:t xml:space="preserve"> finansow</w:t>
      </w:r>
      <w:r>
        <w:rPr>
          <w:rFonts w:ascii="Times New Roman" w:hAnsi="Times New Roman"/>
        </w:rPr>
        <w:t>e</w:t>
      </w:r>
      <w:r w:rsidR="003444BE" w:rsidRPr="003444BE">
        <w:rPr>
          <w:rFonts w:ascii="Times New Roman" w:hAnsi="Times New Roman"/>
        </w:rPr>
        <w:t xml:space="preserve"> tych jednostek uregulowane są obecnie w </w:t>
      </w:r>
      <w:r w:rsidR="00A93803">
        <w:rPr>
          <w:rFonts w:ascii="Times New Roman" w:hAnsi="Times New Roman"/>
        </w:rPr>
        <w:t>przepisach ustawy o finansach publicznych</w:t>
      </w:r>
      <w:r w:rsidR="003444BE" w:rsidRPr="003444BE">
        <w:rPr>
          <w:rFonts w:ascii="Times New Roman" w:hAnsi="Times New Roman"/>
        </w:rPr>
        <w:t xml:space="preserve">. Regulacje zawarte w </w:t>
      </w:r>
      <w:r w:rsidR="00A93803">
        <w:rPr>
          <w:rFonts w:ascii="Times New Roman" w:hAnsi="Times New Roman"/>
        </w:rPr>
        <w:t>tej ustawie</w:t>
      </w:r>
      <w:r w:rsidR="003444BE" w:rsidRPr="003444BE">
        <w:rPr>
          <w:rFonts w:ascii="Times New Roman" w:hAnsi="Times New Roman"/>
        </w:rPr>
        <w:t xml:space="preserve"> nie </w:t>
      </w:r>
      <w:r>
        <w:rPr>
          <w:rFonts w:ascii="Times New Roman" w:hAnsi="Times New Roman"/>
        </w:rPr>
        <w:t>zawierają jednak przepisów odnoszących się do</w:t>
      </w:r>
      <w:r w:rsidR="003444BE" w:rsidRPr="003444BE">
        <w:rPr>
          <w:rFonts w:ascii="Times New Roman" w:hAnsi="Times New Roman"/>
        </w:rPr>
        <w:t xml:space="preserve"> sporządzenia planu finansowego w trakcie roku budżetowego</w:t>
      </w:r>
      <w:r w:rsidR="00A93803">
        <w:rPr>
          <w:rFonts w:ascii="Times New Roman" w:hAnsi="Times New Roman"/>
        </w:rPr>
        <w:t>,</w:t>
      </w:r>
      <w:r w:rsidR="003444BE" w:rsidRPr="003444BE">
        <w:rPr>
          <w:rFonts w:ascii="Times New Roman" w:hAnsi="Times New Roman"/>
        </w:rPr>
        <w:t xml:space="preserve"> na dany rok. Procedura uchwalenia planu finansowego pozwoli na u</w:t>
      </w:r>
      <w:r w:rsidR="003444BE">
        <w:rPr>
          <w:rFonts w:ascii="Times New Roman" w:hAnsi="Times New Roman"/>
        </w:rPr>
        <w:t>trzymanie wielkości zawartych w </w:t>
      </w:r>
      <w:r w:rsidR="003444BE" w:rsidRPr="003444BE">
        <w:rPr>
          <w:rFonts w:ascii="Times New Roman" w:hAnsi="Times New Roman"/>
        </w:rPr>
        <w:t xml:space="preserve">projektowanym planie, zgodnie z OSR tworzącym daną </w:t>
      </w:r>
      <w:r w:rsidR="00A93803">
        <w:rPr>
          <w:rFonts w:ascii="Times New Roman" w:hAnsi="Times New Roman"/>
        </w:rPr>
        <w:t>jednostkę</w:t>
      </w:r>
      <w:r w:rsidR="003444BE" w:rsidRPr="003444BE">
        <w:rPr>
          <w:rFonts w:ascii="Times New Roman" w:hAnsi="Times New Roman"/>
        </w:rPr>
        <w:t xml:space="preserve"> oraz pozwoli na skuteczniejsze zaplanowanie wydatków na kolejne lata budżetowe. </w:t>
      </w:r>
      <w:r w:rsidR="00A93803">
        <w:rPr>
          <w:rFonts w:ascii="Times New Roman" w:hAnsi="Times New Roman"/>
        </w:rPr>
        <w:t xml:space="preserve"> </w:t>
      </w:r>
    </w:p>
    <w:p w14:paraId="64608358" w14:textId="77777777" w:rsidR="00CB4517" w:rsidRPr="008E5FB3" w:rsidRDefault="00CB4517" w:rsidP="00713591">
      <w:pPr>
        <w:spacing w:line="276" w:lineRule="auto"/>
        <w:jc w:val="both"/>
        <w:rPr>
          <w:rFonts w:ascii="Times New Roman" w:hAnsi="Times New Roman"/>
          <w:b/>
          <w:i/>
        </w:rPr>
      </w:pPr>
    </w:p>
    <w:p w14:paraId="659BA381" w14:textId="111D86B7" w:rsidR="00CB4517" w:rsidRPr="008E5FB3" w:rsidRDefault="00CB4517" w:rsidP="00713591">
      <w:pPr>
        <w:spacing w:line="276" w:lineRule="auto"/>
        <w:jc w:val="both"/>
        <w:rPr>
          <w:rFonts w:ascii="Times New Roman" w:hAnsi="Times New Roman"/>
          <w:b/>
          <w:i/>
        </w:rPr>
      </w:pPr>
      <w:r w:rsidRPr="008E5FB3">
        <w:rPr>
          <w:rFonts w:ascii="Times New Roman" w:hAnsi="Times New Roman"/>
          <w:b/>
          <w:i/>
        </w:rPr>
        <w:t>zmiana w art. 42</w:t>
      </w:r>
      <w:r w:rsidR="00080647">
        <w:rPr>
          <w:rFonts w:ascii="Times New Roman" w:hAnsi="Times New Roman"/>
          <w:b/>
          <w:i/>
        </w:rPr>
        <w:t xml:space="preserve"> ust. 3 pkt 3</w:t>
      </w:r>
    </w:p>
    <w:p w14:paraId="1EDC7238" w14:textId="77777777" w:rsidR="00CB4517" w:rsidRPr="008E5FB3" w:rsidRDefault="00CB4517" w:rsidP="00713591">
      <w:pPr>
        <w:spacing w:line="276" w:lineRule="auto"/>
        <w:jc w:val="both"/>
        <w:rPr>
          <w:rFonts w:ascii="Times New Roman" w:hAnsi="Times New Roman"/>
          <w:b/>
          <w:i/>
        </w:rPr>
      </w:pPr>
    </w:p>
    <w:p w14:paraId="0A168678" w14:textId="77777777" w:rsidR="00CB4517" w:rsidRPr="008E5FB3" w:rsidRDefault="00CB4517" w:rsidP="00713591">
      <w:pPr>
        <w:spacing w:line="276" w:lineRule="auto"/>
        <w:jc w:val="both"/>
        <w:rPr>
          <w:rFonts w:ascii="Times New Roman" w:hAnsi="Times New Roman"/>
        </w:rPr>
      </w:pPr>
      <w:r w:rsidRPr="008E5FB3">
        <w:rPr>
          <w:rFonts w:ascii="Times New Roman" w:hAnsi="Times New Roman"/>
        </w:rPr>
        <w:t xml:space="preserve">Proponowana zmiana ma na celu usprawnienie realizacji projektów finansowanych z udziałem środków zagranicznych niepodlegających zwrotowi, o których mowa w art. 5 ust. 1 pkt 3, </w:t>
      </w:r>
      <w:r w:rsidRPr="008E5FB3">
        <w:rPr>
          <w:rFonts w:ascii="Times New Roman" w:hAnsi="Times New Roman"/>
        </w:rPr>
        <w:br/>
        <w:t>w związku ze zmianą w art. 111 pkt 16, w którym umieszczono te środki, potwierdzając tym samym, że zalicza się je do dochodów budżetu państwa. Z uwagi na ich szczególny charakter określony w art. 204 ustawy o finansach publicznych, w celu ujednolicenia regulacji dotyczących tych środków, należy je również objąć wyłączeniem od ograniczenia w zakresie przeznaczania środków publicznych na imiennie określone wydatki.</w:t>
      </w:r>
    </w:p>
    <w:p w14:paraId="5308909E" w14:textId="77777777" w:rsidR="00CB4517" w:rsidRPr="008E5FB3" w:rsidRDefault="00CB4517" w:rsidP="00713591">
      <w:pPr>
        <w:spacing w:line="276" w:lineRule="auto"/>
        <w:jc w:val="both"/>
        <w:rPr>
          <w:rFonts w:ascii="Times New Roman" w:hAnsi="Times New Roman"/>
        </w:rPr>
      </w:pPr>
    </w:p>
    <w:p w14:paraId="0AA0DF55" w14:textId="47652C08" w:rsidR="00CB4517" w:rsidRPr="008E5FB3" w:rsidRDefault="00CB4517" w:rsidP="00713591">
      <w:pPr>
        <w:spacing w:line="276" w:lineRule="auto"/>
        <w:jc w:val="both"/>
        <w:rPr>
          <w:rFonts w:ascii="Times New Roman" w:hAnsi="Times New Roman"/>
          <w:b/>
          <w:i/>
        </w:rPr>
      </w:pPr>
      <w:r w:rsidRPr="008E5FB3">
        <w:rPr>
          <w:rFonts w:ascii="Times New Roman" w:hAnsi="Times New Roman"/>
          <w:b/>
          <w:i/>
        </w:rPr>
        <w:t>zmiana w art. 50</w:t>
      </w:r>
      <w:r w:rsidR="006D6E5F">
        <w:rPr>
          <w:rFonts w:ascii="Times New Roman" w:hAnsi="Times New Roman"/>
          <w:b/>
          <w:i/>
        </w:rPr>
        <w:t>,</w:t>
      </w:r>
      <w:r w:rsidR="00080647">
        <w:rPr>
          <w:rFonts w:ascii="Times New Roman" w:hAnsi="Times New Roman"/>
          <w:b/>
          <w:i/>
        </w:rPr>
        <w:t xml:space="preserve"> uchylenie ust. </w:t>
      </w:r>
      <w:r w:rsidR="0076247C">
        <w:rPr>
          <w:rFonts w:ascii="Times New Roman" w:hAnsi="Times New Roman"/>
          <w:b/>
          <w:i/>
        </w:rPr>
        <w:t>4, zmiana ust. 5,</w:t>
      </w:r>
      <w:r w:rsidR="00080647">
        <w:rPr>
          <w:rFonts w:ascii="Times New Roman" w:hAnsi="Times New Roman"/>
          <w:b/>
          <w:i/>
        </w:rPr>
        <w:t xml:space="preserve"> 6 i 8</w:t>
      </w:r>
    </w:p>
    <w:p w14:paraId="58A482DD" w14:textId="77777777" w:rsidR="00CB4517" w:rsidRPr="008E5FB3" w:rsidRDefault="00CB4517" w:rsidP="00713591">
      <w:pPr>
        <w:spacing w:line="276" w:lineRule="auto"/>
        <w:jc w:val="both"/>
        <w:rPr>
          <w:rFonts w:ascii="Times New Roman" w:hAnsi="Times New Roman"/>
          <w:b/>
          <w:i/>
        </w:rPr>
      </w:pPr>
    </w:p>
    <w:p w14:paraId="25EE3E60" w14:textId="79E1C4FF" w:rsidR="00CB4517" w:rsidRPr="008E5FB3" w:rsidRDefault="00CB4517" w:rsidP="00885618">
      <w:pPr>
        <w:spacing w:line="276" w:lineRule="auto"/>
        <w:jc w:val="both"/>
        <w:rPr>
          <w:rFonts w:ascii="Times New Roman" w:hAnsi="Times New Roman"/>
        </w:rPr>
      </w:pPr>
      <w:r w:rsidRPr="008E5FB3">
        <w:rPr>
          <w:rFonts w:ascii="Times New Roman" w:hAnsi="Times New Roman"/>
        </w:rPr>
        <w:t xml:space="preserve">W art. 50 dokonano modyfikacji brzmienia ust. </w:t>
      </w:r>
      <w:r w:rsidR="00B4616F">
        <w:rPr>
          <w:rFonts w:ascii="Times New Roman" w:hAnsi="Times New Roman"/>
        </w:rPr>
        <w:t>5</w:t>
      </w:r>
      <w:r w:rsidRPr="008E5FB3">
        <w:rPr>
          <w:rFonts w:ascii="Times New Roman" w:hAnsi="Times New Roman"/>
        </w:rPr>
        <w:t xml:space="preserve">, zgodnie z którym w projekcie ustawy, o której mowa w ust. 1a, określa się właściwy organ, który monitoruje wykorzystanie limitu wydatków na </w:t>
      </w:r>
      <w:r w:rsidR="00A55D76">
        <w:rPr>
          <w:rFonts w:ascii="Times New Roman" w:hAnsi="Times New Roman"/>
        </w:rPr>
        <w:t>zadania publiczne</w:t>
      </w:r>
      <w:r w:rsidRPr="008E5FB3">
        <w:rPr>
          <w:rFonts w:ascii="Times New Roman" w:hAnsi="Times New Roman"/>
        </w:rPr>
        <w:t xml:space="preserve"> </w:t>
      </w:r>
      <w:r w:rsidR="00A55D76">
        <w:rPr>
          <w:rFonts w:ascii="Times New Roman" w:hAnsi="Times New Roman"/>
        </w:rPr>
        <w:t>wykonywane</w:t>
      </w:r>
      <w:r w:rsidR="00A55D76" w:rsidRPr="008E5FB3">
        <w:rPr>
          <w:rFonts w:ascii="Times New Roman" w:hAnsi="Times New Roman"/>
        </w:rPr>
        <w:t xml:space="preserve"> </w:t>
      </w:r>
      <w:r w:rsidRPr="008E5FB3">
        <w:rPr>
          <w:rFonts w:ascii="Times New Roman" w:hAnsi="Times New Roman"/>
        </w:rPr>
        <w:t>przez jednostki sektora</w:t>
      </w:r>
      <w:r w:rsidR="00DF3D66">
        <w:rPr>
          <w:rFonts w:ascii="Times New Roman" w:hAnsi="Times New Roman"/>
        </w:rPr>
        <w:t xml:space="preserve"> finansów publicznych oraz odpowiada za</w:t>
      </w:r>
      <w:r w:rsidRPr="008E5FB3">
        <w:rPr>
          <w:rFonts w:ascii="Times New Roman" w:hAnsi="Times New Roman"/>
        </w:rPr>
        <w:t xml:space="preserve"> </w:t>
      </w:r>
      <w:r w:rsidR="00DF3D66">
        <w:rPr>
          <w:rFonts w:ascii="Times New Roman" w:hAnsi="Times New Roman"/>
        </w:rPr>
        <w:t>podejmowanie</w:t>
      </w:r>
      <w:r w:rsidR="00965AA8">
        <w:rPr>
          <w:rFonts w:ascii="Times New Roman" w:hAnsi="Times New Roman"/>
        </w:rPr>
        <w:t xml:space="preserve"> w tych </w:t>
      </w:r>
      <w:r w:rsidR="00965AA8" w:rsidRPr="008E5FB3">
        <w:rPr>
          <w:rFonts w:ascii="Times New Roman" w:hAnsi="Times New Roman"/>
        </w:rPr>
        <w:t>jednostkach</w:t>
      </w:r>
      <w:r w:rsidR="00965AA8">
        <w:rPr>
          <w:rFonts w:ascii="Times New Roman" w:hAnsi="Times New Roman"/>
        </w:rPr>
        <w:t xml:space="preserve"> działań mających </w:t>
      </w:r>
      <w:r w:rsidRPr="008E5FB3">
        <w:rPr>
          <w:rFonts w:ascii="Times New Roman" w:hAnsi="Times New Roman"/>
        </w:rPr>
        <w:t>na celu zapobiegnięcie przekroczeniu maksymalnego limitu wydatków</w:t>
      </w:r>
      <w:r w:rsidR="00965AA8" w:rsidRPr="00965AA8">
        <w:rPr>
          <w:rFonts w:ascii="Times New Roman" w:hAnsi="Times New Roman"/>
        </w:rPr>
        <w:t xml:space="preserve"> </w:t>
      </w:r>
      <w:r w:rsidR="00965AA8" w:rsidRPr="008E5FB3">
        <w:rPr>
          <w:rFonts w:ascii="Times New Roman" w:hAnsi="Times New Roman"/>
        </w:rPr>
        <w:t>przyjętego na dany rok budżetowy</w:t>
      </w:r>
      <w:r w:rsidR="00885618">
        <w:rPr>
          <w:rFonts w:ascii="Times New Roman" w:hAnsi="Times New Roman"/>
        </w:rPr>
        <w:t>.</w:t>
      </w:r>
    </w:p>
    <w:p w14:paraId="3FDBADE2" w14:textId="77777777" w:rsidR="00CB4517" w:rsidRPr="008E5FB3" w:rsidRDefault="00CB4517" w:rsidP="00713591">
      <w:pPr>
        <w:spacing w:line="276" w:lineRule="auto"/>
        <w:jc w:val="both"/>
        <w:rPr>
          <w:rFonts w:ascii="Times New Roman" w:hAnsi="Times New Roman"/>
        </w:rPr>
      </w:pPr>
    </w:p>
    <w:p w14:paraId="29B11051" w14:textId="63DF5681" w:rsidR="00603C7B" w:rsidRDefault="00CB4517" w:rsidP="00713591">
      <w:pPr>
        <w:spacing w:line="276" w:lineRule="auto"/>
        <w:jc w:val="both"/>
        <w:rPr>
          <w:rFonts w:ascii="Times New Roman" w:hAnsi="Times New Roman"/>
        </w:rPr>
      </w:pPr>
      <w:r w:rsidRPr="008E5FB3">
        <w:rPr>
          <w:rFonts w:ascii="Times New Roman" w:hAnsi="Times New Roman"/>
        </w:rPr>
        <w:t>Z</w:t>
      </w:r>
      <w:r w:rsidR="00157E81">
        <w:rPr>
          <w:rFonts w:ascii="Times New Roman" w:hAnsi="Times New Roman"/>
        </w:rPr>
        <w:t xml:space="preserve">rezygnowano </w:t>
      </w:r>
      <w:r w:rsidRPr="008E5FB3">
        <w:rPr>
          <w:rFonts w:ascii="Times New Roman" w:hAnsi="Times New Roman"/>
        </w:rPr>
        <w:t xml:space="preserve">tym samym z konieczności określania </w:t>
      </w:r>
      <w:r w:rsidR="005D62C2" w:rsidRPr="008E5FB3">
        <w:rPr>
          <w:rFonts w:ascii="Times New Roman" w:hAnsi="Times New Roman"/>
        </w:rPr>
        <w:t xml:space="preserve">mechanizmów korygujących </w:t>
      </w:r>
      <w:r w:rsidRPr="008E5FB3">
        <w:rPr>
          <w:rFonts w:ascii="Times New Roman" w:hAnsi="Times New Roman"/>
        </w:rPr>
        <w:t>w projekcie ustawy, o której mowa w</w:t>
      </w:r>
      <w:r w:rsidR="00B4616F">
        <w:rPr>
          <w:rFonts w:ascii="Times New Roman" w:hAnsi="Times New Roman"/>
        </w:rPr>
        <w:t xml:space="preserve"> </w:t>
      </w:r>
      <w:r w:rsidRPr="008E5FB3">
        <w:rPr>
          <w:rFonts w:ascii="Times New Roman" w:hAnsi="Times New Roman"/>
        </w:rPr>
        <w:t>ust. 1a, znajdujących zastosowanie w przypadku przekroczenia lub zagrożenia przekroczenia przyjętego na dany rok budżetowy maksymalnego limitu wydatków. Wynikająca z</w:t>
      </w:r>
      <w:r w:rsidR="00B4616F">
        <w:rPr>
          <w:rFonts w:ascii="Times New Roman" w:hAnsi="Times New Roman"/>
        </w:rPr>
        <w:t xml:space="preserve"> obecnego brzemienia</w:t>
      </w:r>
      <w:r w:rsidRPr="008E5FB3">
        <w:rPr>
          <w:rFonts w:ascii="Times New Roman" w:hAnsi="Times New Roman"/>
        </w:rPr>
        <w:t xml:space="preserve"> ust. 4 konieczność określania mechanizmów korygujących jest problematyczna i niejednokrotnie spotyka się z trudnościami po stronie projektodawców m.</w:t>
      </w:r>
      <w:r w:rsidR="005D62C2">
        <w:rPr>
          <w:rFonts w:ascii="Times New Roman" w:hAnsi="Times New Roman"/>
        </w:rPr>
        <w:t xml:space="preserve"> </w:t>
      </w:r>
      <w:r w:rsidRPr="008E5FB3">
        <w:rPr>
          <w:rFonts w:ascii="Times New Roman" w:hAnsi="Times New Roman"/>
        </w:rPr>
        <w:t xml:space="preserve">in. co do właściwego, adekwatnego </w:t>
      </w:r>
      <w:r w:rsidR="005D62C2">
        <w:rPr>
          <w:rFonts w:ascii="Times New Roman" w:hAnsi="Times New Roman"/>
        </w:rPr>
        <w:t xml:space="preserve">ich </w:t>
      </w:r>
      <w:r w:rsidRPr="008E5FB3">
        <w:rPr>
          <w:rFonts w:ascii="Times New Roman" w:hAnsi="Times New Roman"/>
        </w:rPr>
        <w:t>określenia, jak również ich zastosowania</w:t>
      </w:r>
      <w:r w:rsidR="005D62C2">
        <w:rPr>
          <w:rFonts w:ascii="Times New Roman" w:hAnsi="Times New Roman"/>
        </w:rPr>
        <w:t xml:space="preserve"> w praktyce</w:t>
      </w:r>
      <w:r w:rsidRPr="008E5FB3">
        <w:rPr>
          <w:rFonts w:ascii="Times New Roman" w:hAnsi="Times New Roman"/>
        </w:rPr>
        <w:t xml:space="preserve">. </w:t>
      </w:r>
      <w:r w:rsidR="00603C7B">
        <w:rPr>
          <w:rFonts w:ascii="Times New Roman" w:hAnsi="Times New Roman"/>
        </w:rPr>
        <w:lastRenderedPageBreak/>
        <w:t>Nadal obowiązuje jednak konieczność</w:t>
      </w:r>
      <w:r w:rsidRPr="008E5FB3">
        <w:rPr>
          <w:rFonts w:ascii="Times New Roman" w:hAnsi="Times New Roman"/>
        </w:rPr>
        <w:t xml:space="preserve"> monitorowania wykorzystania limitu wydatków na wykonywanie zadania publicznego przez jednostki sektora finansów publicznych</w:t>
      </w:r>
      <w:r w:rsidR="00603C7B">
        <w:rPr>
          <w:rFonts w:ascii="Times New Roman" w:hAnsi="Times New Roman"/>
        </w:rPr>
        <w:t xml:space="preserve"> za pomocą </w:t>
      </w:r>
      <w:r w:rsidRPr="008E5FB3">
        <w:rPr>
          <w:rFonts w:ascii="Times New Roman" w:hAnsi="Times New Roman"/>
        </w:rPr>
        <w:t>właściw</w:t>
      </w:r>
      <w:r w:rsidR="00DF3D66">
        <w:rPr>
          <w:rFonts w:ascii="Times New Roman" w:hAnsi="Times New Roman"/>
        </w:rPr>
        <w:t>ego</w:t>
      </w:r>
      <w:r w:rsidRPr="008E5FB3">
        <w:rPr>
          <w:rFonts w:ascii="Times New Roman" w:hAnsi="Times New Roman"/>
        </w:rPr>
        <w:t xml:space="preserve"> organ</w:t>
      </w:r>
      <w:r w:rsidR="00DF3D66">
        <w:rPr>
          <w:rFonts w:ascii="Times New Roman" w:hAnsi="Times New Roman"/>
        </w:rPr>
        <w:t>u</w:t>
      </w:r>
      <w:r w:rsidR="00603C7B">
        <w:rPr>
          <w:rFonts w:ascii="Times New Roman" w:hAnsi="Times New Roman"/>
        </w:rPr>
        <w:t xml:space="preserve">. </w:t>
      </w:r>
      <w:r w:rsidR="00DF3D66">
        <w:rPr>
          <w:rFonts w:ascii="Times New Roman" w:hAnsi="Times New Roman"/>
        </w:rPr>
        <w:t>O</w:t>
      </w:r>
      <w:r w:rsidRPr="008E5FB3">
        <w:rPr>
          <w:rFonts w:ascii="Times New Roman" w:hAnsi="Times New Roman"/>
        </w:rPr>
        <w:t>dpowiedzialn</w:t>
      </w:r>
      <w:r w:rsidR="00DF3D66">
        <w:rPr>
          <w:rFonts w:ascii="Times New Roman" w:hAnsi="Times New Roman"/>
        </w:rPr>
        <w:t>y jest on za podejmowanie</w:t>
      </w:r>
      <w:r w:rsidR="00965AA8">
        <w:rPr>
          <w:rFonts w:ascii="Times New Roman" w:hAnsi="Times New Roman"/>
        </w:rPr>
        <w:t xml:space="preserve"> w</w:t>
      </w:r>
      <w:r w:rsidRPr="008E5FB3">
        <w:rPr>
          <w:rFonts w:ascii="Times New Roman" w:hAnsi="Times New Roman"/>
        </w:rPr>
        <w:t xml:space="preserve"> jednostkach działań mających na celu zapobiegnięcie przekroczeniu przyjętego na dany rok budżetowy</w:t>
      </w:r>
      <w:r w:rsidR="00B511AC">
        <w:rPr>
          <w:rFonts w:ascii="Times New Roman" w:hAnsi="Times New Roman"/>
        </w:rPr>
        <w:t xml:space="preserve"> maksymalnego limitu wydatków. </w:t>
      </w:r>
    </w:p>
    <w:p w14:paraId="1559B769" w14:textId="77777777" w:rsidR="00D8275B" w:rsidRDefault="00D8275B" w:rsidP="00713591">
      <w:pPr>
        <w:spacing w:line="276" w:lineRule="auto"/>
        <w:jc w:val="both"/>
        <w:rPr>
          <w:rFonts w:ascii="Times New Roman" w:hAnsi="Times New Roman"/>
        </w:rPr>
      </w:pPr>
    </w:p>
    <w:p w14:paraId="18CA59F0" w14:textId="24BB53E1" w:rsidR="00AF6F8C" w:rsidRDefault="00D8275B" w:rsidP="00713591">
      <w:pPr>
        <w:spacing w:line="276" w:lineRule="auto"/>
        <w:jc w:val="both"/>
        <w:rPr>
          <w:rFonts w:ascii="Times New Roman" w:hAnsi="Times New Roman"/>
        </w:rPr>
      </w:pPr>
      <w:r>
        <w:rPr>
          <w:rFonts w:ascii="Times New Roman" w:hAnsi="Times New Roman"/>
        </w:rPr>
        <w:t>W</w:t>
      </w:r>
      <w:r w:rsidR="00CB4517" w:rsidRPr="008E5FB3">
        <w:rPr>
          <w:rFonts w:ascii="Times New Roman" w:hAnsi="Times New Roman"/>
        </w:rPr>
        <w:t xml:space="preserve"> projekcie ustawy </w:t>
      </w:r>
      <w:r>
        <w:rPr>
          <w:rFonts w:ascii="Times New Roman" w:hAnsi="Times New Roman"/>
        </w:rPr>
        <w:t>nadal konieczne jest wskazyw</w:t>
      </w:r>
      <w:r w:rsidR="00603C7B">
        <w:rPr>
          <w:rFonts w:ascii="Times New Roman" w:hAnsi="Times New Roman"/>
        </w:rPr>
        <w:t xml:space="preserve">anie </w:t>
      </w:r>
      <w:r w:rsidR="00CB4517" w:rsidRPr="008E5FB3">
        <w:rPr>
          <w:rFonts w:ascii="Times New Roman" w:hAnsi="Times New Roman"/>
        </w:rPr>
        <w:t>właściwego organ</w:t>
      </w:r>
      <w:r w:rsidR="003E5B1D">
        <w:rPr>
          <w:rFonts w:ascii="Times New Roman" w:hAnsi="Times New Roman"/>
        </w:rPr>
        <w:t>u</w:t>
      </w:r>
      <w:r w:rsidR="00DF3D66">
        <w:rPr>
          <w:rFonts w:ascii="Times New Roman" w:hAnsi="Times New Roman"/>
        </w:rPr>
        <w:t>, który monitoruje</w:t>
      </w:r>
      <w:r w:rsidR="00CB4517" w:rsidRPr="008E5FB3">
        <w:rPr>
          <w:rFonts w:ascii="Times New Roman" w:hAnsi="Times New Roman"/>
        </w:rPr>
        <w:t xml:space="preserve"> wykorzystanie limitu wydatków na wykonywanie </w:t>
      </w:r>
      <w:r w:rsidR="00965AA8" w:rsidRPr="008E5FB3">
        <w:rPr>
          <w:rFonts w:ascii="Times New Roman" w:hAnsi="Times New Roman"/>
        </w:rPr>
        <w:t xml:space="preserve">przez jednostki </w:t>
      </w:r>
      <w:r w:rsidR="00CB4517" w:rsidRPr="008E5FB3">
        <w:rPr>
          <w:rFonts w:ascii="Times New Roman" w:hAnsi="Times New Roman"/>
        </w:rPr>
        <w:t xml:space="preserve">zadania publicznego </w:t>
      </w:r>
      <w:r>
        <w:rPr>
          <w:rFonts w:ascii="Times New Roman" w:hAnsi="Times New Roman"/>
        </w:rPr>
        <w:t>oraz</w:t>
      </w:r>
      <w:r w:rsidR="00C51AB0" w:rsidRPr="008E5FB3">
        <w:rPr>
          <w:rFonts w:ascii="Times New Roman" w:hAnsi="Times New Roman"/>
        </w:rPr>
        <w:t xml:space="preserve"> </w:t>
      </w:r>
      <w:r w:rsidR="00DF3D66">
        <w:rPr>
          <w:rFonts w:ascii="Times New Roman" w:hAnsi="Times New Roman"/>
        </w:rPr>
        <w:t>odpowiada</w:t>
      </w:r>
      <w:r w:rsidR="00CB4517" w:rsidRPr="008E5FB3">
        <w:rPr>
          <w:rFonts w:ascii="Times New Roman" w:hAnsi="Times New Roman"/>
        </w:rPr>
        <w:t xml:space="preserve"> za</w:t>
      </w:r>
      <w:r w:rsidR="00DF3D66">
        <w:rPr>
          <w:rFonts w:ascii="Times New Roman" w:hAnsi="Times New Roman"/>
        </w:rPr>
        <w:t xml:space="preserve"> podejmowanie</w:t>
      </w:r>
      <w:r w:rsidR="00CB4517" w:rsidRPr="008E5FB3">
        <w:rPr>
          <w:rFonts w:ascii="Times New Roman" w:hAnsi="Times New Roman"/>
        </w:rPr>
        <w:t xml:space="preserve"> </w:t>
      </w:r>
      <w:r w:rsidR="00DF3D66">
        <w:rPr>
          <w:rFonts w:ascii="Times New Roman" w:hAnsi="Times New Roman"/>
        </w:rPr>
        <w:t>działań mających</w:t>
      </w:r>
      <w:r w:rsidR="00CB4517" w:rsidRPr="008E5FB3">
        <w:rPr>
          <w:rFonts w:ascii="Times New Roman" w:hAnsi="Times New Roman"/>
        </w:rPr>
        <w:t xml:space="preserve"> na celu zapobiegnięcie przekroczeniu przyjętego na dany rok budżetowy maksymalneg</w:t>
      </w:r>
      <w:r w:rsidR="00DF3D66">
        <w:rPr>
          <w:rFonts w:ascii="Times New Roman" w:hAnsi="Times New Roman"/>
        </w:rPr>
        <w:t>o limitu wydatków. W gestii tego organu</w:t>
      </w:r>
      <w:r w:rsidR="00CB4517" w:rsidRPr="008E5FB3">
        <w:rPr>
          <w:rFonts w:ascii="Times New Roman" w:hAnsi="Times New Roman"/>
        </w:rPr>
        <w:t xml:space="preserve"> pozostawia się</w:t>
      </w:r>
      <w:r w:rsidR="00157E81">
        <w:rPr>
          <w:rFonts w:ascii="Times New Roman" w:hAnsi="Times New Roman"/>
        </w:rPr>
        <w:t xml:space="preserve"> zaś</w:t>
      </w:r>
      <w:r w:rsidR="00CB4517" w:rsidRPr="008E5FB3">
        <w:rPr>
          <w:rFonts w:ascii="Times New Roman" w:hAnsi="Times New Roman"/>
        </w:rPr>
        <w:t xml:space="preserve"> decyzję o wyborze </w:t>
      </w:r>
      <w:r w:rsidR="00603C7B">
        <w:rPr>
          <w:rFonts w:ascii="Times New Roman" w:hAnsi="Times New Roman"/>
        </w:rPr>
        <w:t xml:space="preserve">i sposobie wdrożenia </w:t>
      </w:r>
      <w:r w:rsidR="00CB4517" w:rsidRPr="008E5FB3">
        <w:rPr>
          <w:rFonts w:ascii="Times New Roman" w:hAnsi="Times New Roman"/>
        </w:rPr>
        <w:t>właściwych działań mających na c</w:t>
      </w:r>
      <w:r w:rsidR="00885618">
        <w:rPr>
          <w:rFonts w:ascii="Times New Roman" w:hAnsi="Times New Roman"/>
        </w:rPr>
        <w:t>elu zapobiegnięcie powyższemu</w:t>
      </w:r>
      <w:r w:rsidR="00CB4517" w:rsidRPr="008E5FB3">
        <w:rPr>
          <w:rFonts w:ascii="Times New Roman" w:hAnsi="Times New Roman"/>
        </w:rPr>
        <w:t xml:space="preserve">. </w:t>
      </w:r>
    </w:p>
    <w:p w14:paraId="51338BF4" w14:textId="77777777" w:rsidR="00CB4517" w:rsidRPr="008E5FB3" w:rsidRDefault="00CB4517" w:rsidP="00713591">
      <w:pPr>
        <w:spacing w:line="276" w:lineRule="auto"/>
        <w:jc w:val="both"/>
        <w:rPr>
          <w:rFonts w:ascii="Times New Roman" w:hAnsi="Times New Roman"/>
        </w:rPr>
      </w:pPr>
    </w:p>
    <w:p w14:paraId="4B08112D" w14:textId="2C700803" w:rsidR="00CB4517" w:rsidRDefault="00CB4517" w:rsidP="00713591">
      <w:pPr>
        <w:spacing w:line="276" w:lineRule="auto"/>
        <w:jc w:val="both"/>
        <w:rPr>
          <w:rFonts w:ascii="Times New Roman" w:hAnsi="Times New Roman"/>
        </w:rPr>
      </w:pPr>
      <w:r w:rsidRPr="008E5FB3">
        <w:rPr>
          <w:rFonts w:ascii="Times New Roman" w:hAnsi="Times New Roman"/>
        </w:rPr>
        <w:t xml:space="preserve">Zasadne jest uchylenie regulacji z ust. </w:t>
      </w:r>
      <w:r w:rsidR="00B4616F">
        <w:rPr>
          <w:rFonts w:ascii="Times New Roman" w:hAnsi="Times New Roman"/>
        </w:rPr>
        <w:t>4</w:t>
      </w:r>
      <w:r w:rsidRPr="008E5FB3">
        <w:rPr>
          <w:rFonts w:ascii="Times New Roman" w:hAnsi="Times New Roman"/>
        </w:rPr>
        <w:t xml:space="preserve">, ze względu na przeniesienie treści tego przepisu do ust. </w:t>
      </w:r>
      <w:r w:rsidR="00B4616F">
        <w:rPr>
          <w:rFonts w:ascii="Times New Roman" w:hAnsi="Times New Roman"/>
        </w:rPr>
        <w:t>5</w:t>
      </w:r>
      <w:r w:rsidR="00965AA8">
        <w:rPr>
          <w:rFonts w:ascii="Times New Roman" w:hAnsi="Times New Roman"/>
        </w:rPr>
        <w:t xml:space="preserve"> w projektowanym brzmieniu. </w:t>
      </w:r>
      <w:r w:rsidRPr="008E5FB3">
        <w:rPr>
          <w:rFonts w:ascii="Times New Roman" w:hAnsi="Times New Roman"/>
        </w:rPr>
        <w:t xml:space="preserve">Ze względu na uchylenie ust. </w:t>
      </w:r>
      <w:r w:rsidR="00B4616F">
        <w:rPr>
          <w:rFonts w:ascii="Times New Roman" w:hAnsi="Times New Roman"/>
        </w:rPr>
        <w:t>4</w:t>
      </w:r>
      <w:r w:rsidRPr="008E5FB3">
        <w:rPr>
          <w:rFonts w:ascii="Times New Roman" w:hAnsi="Times New Roman"/>
        </w:rPr>
        <w:t xml:space="preserve"> zasadne są </w:t>
      </w:r>
      <w:r w:rsidR="00965AA8">
        <w:rPr>
          <w:rFonts w:ascii="Times New Roman" w:hAnsi="Times New Roman"/>
        </w:rPr>
        <w:t xml:space="preserve">natomiast </w:t>
      </w:r>
      <w:r w:rsidR="00157E81">
        <w:rPr>
          <w:rFonts w:ascii="Times New Roman" w:hAnsi="Times New Roman"/>
        </w:rPr>
        <w:t>zmiany</w:t>
      </w:r>
      <w:r w:rsidRPr="008E5FB3">
        <w:rPr>
          <w:rFonts w:ascii="Times New Roman" w:hAnsi="Times New Roman"/>
        </w:rPr>
        <w:t xml:space="preserve"> w ust.</w:t>
      </w:r>
      <w:r w:rsidR="00B4616F">
        <w:rPr>
          <w:rFonts w:ascii="Times New Roman" w:hAnsi="Times New Roman"/>
        </w:rPr>
        <w:t xml:space="preserve"> 5,</w:t>
      </w:r>
      <w:r w:rsidRPr="008E5FB3">
        <w:rPr>
          <w:rFonts w:ascii="Times New Roman" w:hAnsi="Times New Roman"/>
        </w:rPr>
        <w:t xml:space="preserve"> 6 i 8 dostosowujące ich brzmienie do wskazanych powyżej zmian.</w:t>
      </w:r>
    </w:p>
    <w:p w14:paraId="4F0C835A" w14:textId="77777777" w:rsidR="00DD6039" w:rsidRDefault="00DD6039" w:rsidP="00713591">
      <w:pPr>
        <w:spacing w:line="276" w:lineRule="auto"/>
        <w:jc w:val="both"/>
        <w:rPr>
          <w:rFonts w:ascii="Times New Roman" w:hAnsi="Times New Roman"/>
        </w:rPr>
      </w:pPr>
    </w:p>
    <w:p w14:paraId="0AEE7105" w14:textId="20657D4E" w:rsidR="00DD6039" w:rsidRDefault="00DD6039" w:rsidP="00DD6039">
      <w:pPr>
        <w:spacing w:line="276" w:lineRule="auto"/>
        <w:jc w:val="both"/>
        <w:rPr>
          <w:rFonts w:ascii="Times New Roman" w:hAnsi="Times New Roman"/>
          <w:b/>
          <w:i/>
        </w:rPr>
      </w:pPr>
      <w:r>
        <w:rPr>
          <w:rFonts w:ascii="Times New Roman" w:hAnsi="Times New Roman"/>
          <w:b/>
          <w:i/>
        </w:rPr>
        <w:t>zmiany</w:t>
      </w:r>
      <w:r w:rsidRPr="008E5FB3">
        <w:rPr>
          <w:rFonts w:ascii="Times New Roman" w:hAnsi="Times New Roman"/>
          <w:b/>
          <w:i/>
        </w:rPr>
        <w:t xml:space="preserve"> w </w:t>
      </w:r>
      <w:r w:rsidRPr="00DD6039">
        <w:rPr>
          <w:rFonts w:ascii="Times New Roman" w:hAnsi="Times New Roman"/>
          <w:b/>
          <w:i/>
        </w:rPr>
        <w:t xml:space="preserve">art. 50 ust. 6 pkt 2, art. 112 ust. 1 pkt 5, art. 114 ust. 2 pkt 5, </w:t>
      </w:r>
      <w:r>
        <w:rPr>
          <w:rFonts w:ascii="Times New Roman" w:hAnsi="Times New Roman"/>
          <w:b/>
          <w:i/>
        </w:rPr>
        <w:t>art. 124 ust. 1 pkt 7,</w:t>
      </w:r>
      <w:r w:rsidRPr="00DD6039">
        <w:rPr>
          <w:rFonts w:ascii="Times New Roman" w:hAnsi="Times New Roman"/>
          <w:b/>
          <w:i/>
        </w:rPr>
        <w:t xml:space="preserve"> </w:t>
      </w:r>
      <w:r>
        <w:rPr>
          <w:rFonts w:ascii="Times New Roman" w:hAnsi="Times New Roman"/>
          <w:b/>
          <w:i/>
        </w:rPr>
        <w:t>art. 125 ust. 2 i ust. 3,</w:t>
      </w:r>
      <w:r w:rsidRPr="00DD6039">
        <w:rPr>
          <w:rFonts w:ascii="Times New Roman" w:hAnsi="Times New Roman"/>
          <w:b/>
          <w:i/>
        </w:rPr>
        <w:t xml:space="preserve"> </w:t>
      </w:r>
      <w:r>
        <w:rPr>
          <w:rFonts w:ascii="Times New Roman" w:hAnsi="Times New Roman"/>
          <w:b/>
          <w:i/>
        </w:rPr>
        <w:t>art. 138a,</w:t>
      </w:r>
      <w:r w:rsidRPr="00DD6039">
        <w:rPr>
          <w:rFonts w:ascii="Times New Roman" w:hAnsi="Times New Roman"/>
          <w:b/>
          <w:i/>
        </w:rPr>
        <w:t xml:space="preserve"> art. 142 ust. 1 pkt 7</w:t>
      </w:r>
      <w:r>
        <w:rPr>
          <w:rFonts w:ascii="Times New Roman" w:hAnsi="Times New Roman"/>
          <w:b/>
          <w:i/>
        </w:rPr>
        <w:t>,</w:t>
      </w:r>
      <w:r w:rsidRPr="00DD6039">
        <w:rPr>
          <w:rFonts w:ascii="Times New Roman" w:hAnsi="Times New Roman"/>
          <w:b/>
          <w:i/>
        </w:rPr>
        <w:t xml:space="preserve"> art. </w:t>
      </w:r>
      <w:r>
        <w:rPr>
          <w:rFonts w:ascii="Times New Roman" w:hAnsi="Times New Roman"/>
          <w:b/>
          <w:i/>
        </w:rPr>
        <w:t>167 ust. 1 oraz ust. 2 i ust. 4,</w:t>
      </w:r>
      <w:r w:rsidRPr="00DD6039">
        <w:rPr>
          <w:rFonts w:ascii="Times New Roman" w:hAnsi="Times New Roman"/>
          <w:b/>
          <w:i/>
        </w:rPr>
        <w:t xml:space="preserve"> a</w:t>
      </w:r>
      <w:r>
        <w:rPr>
          <w:rFonts w:ascii="Times New Roman" w:hAnsi="Times New Roman"/>
          <w:b/>
          <w:i/>
        </w:rPr>
        <w:t>rt. 182 ust. 4 pkt 3</w:t>
      </w:r>
    </w:p>
    <w:p w14:paraId="07B0268A" w14:textId="77777777" w:rsidR="00DD6039" w:rsidRPr="00DD6039" w:rsidRDefault="00DD6039" w:rsidP="00DD6039">
      <w:pPr>
        <w:spacing w:line="276" w:lineRule="auto"/>
        <w:jc w:val="both"/>
        <w:rPr>
          <w:rFonts w:ascii="Times New Roman" w:hAnsi="Times New Roman"/>
          <w:b/>
          <w:i/>
        </w:rPr>
      </w:pPr>
    </w:p>
    <w:p w14:paraId="7E68C73E" w14:textId="4A63C43B" w:rsidR="00DD6039" w:rsidRPr="00DD6039" w:rsidRDefault="00DD6039" w:rsidP="00DD6039">
      <w:pPr>
        <w:spacing w:line="276" w:lineRule="auto"/>
        <w:jc w:val="both"/>
        <w:rPr>
          <w:rFonts w:ascii="Times New Roman" w:hAnsi="Times New Roman"/>
        </w:rPr>
      </w:pPr>
      <w:r w:rsidRPr="00DD6039">
        <w:rPr>
          <w:rFonts w:ascii="Times New Roman" w:hAnsi="Times New Roman"/>
        </w:rPr>
        <w:t xml:space="preserve">Zaproponowano zmianę </w:t>
      </w:r>
      <w:r>
        <w:rPr>
          <w:rFonts w:ascii="Times New Roman" w:hAnsi="Times New Roman"/>
        </w:rPr>
        <w:t xml:space="preserve">obejmującą szereg </w:t>
      </w:r>
      <w:r w:rsidRPr="00DD6039">
        <w:rPr>
          <w:rFonts w:ascii="Times New Roman" w:hAnsi="Times New Roman"/>
        </w:rPr>
        <w:t>przepisó</w:t>
      </w:r>
      <w:r>
        <w:rPr>
          <w:rFonts w:ascii="Times New Roman" w:hAnsi="Times New Roman"/>
        </w:rPr>
        <w:t>w, która</w:t>
      </w:r>
      <w:r w:rsidRPr="00DD6039">
        <w:rPr>
          <w:rFonts w:ascii="Times New Roman" w:hAnsi="Times New Roman"/>
        </w:rPr>
        <w:t xml:space="preserve"> polega na zastąpieniu</w:t>
      </w:r>
      <w:r>
        <w:rPr>
          <w:rFonts w:ascii="Times New Roman" w:hAnsi="Times New Roman"/>
        </w:rPr>
        <w:t xml:space="preserve"> użytych w tych przepisach</w:t>
      </w:r>
      <w:r w:rsidRPr="00DD6039">
        <w:rPr>
          <w:rFonts w:ascii="Times New Roman" w:hAnsi="Times New Roman"/>
        </w:rPr>
        <w:t xml:space="preserve"> wyrazów „środki własne” wyrazami „zasoby własne”. Celem </w:t>
      </w:r>
      <w:r>
        <w:rPr>
          <w:rFonts w:ascii="Times New Roman" w:hAnsi="Times New Roman"/>
        </w:rPr>
        <w:t xml:space="preserve">ww. </w:t>
      </w:r>
      <w:r w:rsidRPr="00DD6039">
        <w:rPr>
          <w:rFonts w:ascii="Times New Roman" w:hAnsi="Times New Roman"/>
        </w:rPr>
        <w:t xml:space="preserve">zmiany jest dostosowanie </w:t>
      </w:r>
      <w:r>
        <w:rPr>
          <w:rFonts w:ascii="Times New Roman" w:hAnsi="Times New Roman"/>
        </w:rPr>
        <w:t>regulacji</w:t>
      </w:r>
      <w:r w:rsidRPr="00DD6039">
        <w:rPr>
          <w:rFonts w:ascii="Times New Roman" w:hAnsi="Times New Roman"/>
        </w:rPr>
        <w:t xml:space="preserve"> ustawy o finansach publiczn</w:t>
      </w:r>
      <w:r>
        <w:rPr>
          <w:rFonts w:ascii="Times New Roman" w:hAnsi="Times New Roman"/>
        </w:rPr>
        <w:t>ych do stosowanej terminologii, w </w:t>
      </w:r>
      <w:r w:rsidRPr="00DD6039">
        <w:rPr>
          <w:rFonts w:ascii="Times New Roman" w:hAnsi="Times New Roman"/>
        </w:rPr>
        <w:t xml:space="preserve">polskiej wersji językowej aktów prawnych UE, w szczególności Traktatu o funkcjonowaniu UE (art. 311) oraz Decyzji Rady (UE, </w:t>
      </w:r>
      <w:proofErr w:type="spellStart"/>
      <w:r w:rsidRPr="00DD6039">
        <w:rPr>
          <w:rFonts w:ascii="Times New Roman" w:hAnsi="Times New Roman"/>
        </w:rPr>
        <w:t>Euratom</w:t>
      </w:r>
      <w:proofErr w:type="spellEnd"/>
      <w:r w:rsidRPr="00DD6039">
        <w:rPr>
          <w:rFonts w:ascii="Times New Roman" w:hAnsi="Times New Roman"/>
        </w:rPr>
        <w:t xml:space="preserve">) 2020/2053 z dnia 14 grudnia 2020 r w sprawie systemu zasobów własnych Unii Europejskiej </w:t>
      </w:r>
      <w:r>
        <w:rPr>
          <w:rFonts w:ascii="Times New Roman" w:hAnsi="Times New Roman"/>
        </w:rPr>
        <w:t>i</w:t>
      </w:r>
      <w:r w:rsidRPr="00DD6039">
        <w:rPr>
          <w:rFonts w:ascii="Times New Roman" w:hAnsi="Times New Roman"/>
        </w:rPr>
        <w:t xml:space="preserve"> uchylającej decyzję 2014/335/UE, </w:t>
      </w:r>
      <w:proofErr w:type="spellStart"/>
      <w:r w:rsidRPr="00DD6039">
        <w:rPr>
          <w:rFonts w:ascii="Times New Roman" w:hAnsi="Times New Roman"/>
        </w:rPr>
        <w:t>Euratom</w:t>
      </w:r>
      <w:proofErr w:type="spellEnd"/>
      <w:r w:rsidRPr="00DD6039">
        <w:rPr>
          <w:rFonts w:ascii="Times New Roman" w:hAnsi="Times New Roman"/>
        </w:rPr>
        <w:t>. W</w:t>
      </w:r>
      <w:r>
        <w:rPr>
          <w:rFonts w:ascii="Times New Roman" w:hAnsi="Times New Roman"/>
        </w:rPr>
        <w:t> aktach tych angielski termin „</w:t>
      </w:r>
      <w:proofErr w:type="spellStart"/>
      <w:r>
        <w:rPr>
          <w:rFonts w:ascii="Times New Roman" w:hAnsi="Times New Roman"/>
        </w:rPr>
        <w:t>own</w:t>
      </w:r>
      <w:proofErr w:type="spellEnd"/>
      <w:r>
        <w:rPr>
          <w:rFonts w:ascii="Times New Roman" w:hAnsi="Times New Roman"/>
        </w:rPr>
        <w:t xml:space="preserve"> </w:t>
      </w:r>
      <w:proofErr w:type="spellStart"/>
      <w:r>
        <w:rPr>
          <w:rFonts w:ascii="Times New Roman" w:hAnsi="Times New Roman"/>
        </w:rPr>
        <w:t>resources</w:t>
      </w:r>
      <w:proofErr w:type="spellEnd"/>
      <w:r>
        <w:rPr>
          <w:rFonts w:ascii="Times New Roman" w:hAnsi="Times New Roman"/>
        </w:rPr>
        <w:t>” tłumaczony jest bowiem jako „zasoby własne”</w:t>
      </w:r>
      <w:r w:rsidRPr="00DD6039">
        <w:rPr>
          <w:rFonts w:ascii="Times New Roman" w:hAnsi="Times New Roman"/>
        </w:rPr>
        <w:t>.</w:t>
      </w:r>
      <w:r w:rsidR="008A6FDD" w:rsidRPr="008A6FDD">
        <w:t xml:space="preserve"> </w:t>
      </w:r>
      <w:r w:rsidR="008A6FDD">
        <w:rPr>
          <w:rFonts w:ascii="Times New Roman" w:hAnsi="Times New Roman"/>
        </w:rPr>
        <w:t>Zaproponowana zmiana nazewnictwa</w:t>
      </w:r>
      <w:r w:rsidR="008A6FDD" w:rsidRPr="008A6FDD">
        <w:rPr>
          <w:rFonts w:ascii="Times New Roman" w:hAnsi="Times New Roman"/>
        </w:rPr>
        <w:t xml:space="preserve"> ma </w:t>
      </w:r>
      <w:r w:rsidR="0066073A">
        <w:rPr>
          <w:rFonts w:ascii="Times New Roman" w:hAnsi="Times New Roman"/>
        </w:rPr>
        <w:t xml:space="preserve">jedynie </w:t>
      </w:r>
      <w:r w:rsidR="008A6FDD" w:rsidRPr="008A6FDD">
        <w:rPr>
          <w:rFonts w:ascii="Times New Roman" w:hAnsi="Times New Roman"/>
        </w:rPr>
        <w:t>charakter techniczny i nie będzie skutkować uchyleniem pośrednim rozporz</w:t>
      </w:r>
      <w:r w:rsidR="008A6FDD">
        <w:rPr>
          <w:rFonts w:ascii="Times New Roman" w:hAnsi="Times New Roman"/>
        </w:rPr>
        <w:t>ądzeń, które odnoszą się do ww.</w:t>
      </w:r>
      <w:r w:rsidR="008A6FDD" w:rsidRPr="008A6FDD">
        <w:rPr>
          <w:rFonts w:ascii="Times New Roman" w:hAnsi="Times New Roman"/>
        </w:rPr>
        <w:t xml:space="preserve"> środków.</w:t>
      </w:r>
    </w:p>
    <w:p w14:paraId="3AEE87C2" w14:textId="77777777" w:rsidR="00DD6039" w:rsidRDefault="00DD6039" w:rsidP="00713591">
      <w:pPr>
        <w:spacing w:line="276" w:lineRule="auto"/>
        <w:jc w:val="both"/>
        <w:rPr>
          <w:rFonts w:ascii="Times New Roman" w:hAnsi="Times New Roman"/>
        </w:rPr>
      </w:pPr>
    </w:p>
    <w:p w14:paraId="694815B7" w14:textId="50762B15" w:rsidR="00CB4517" w:rsidRPr="008E5FB3" w:rsidRDefault="00CB4517" w:rsidP="00713591">
      <w:pPr>
        <w:spacing w:line="276" w:lineRule="auto"/>
        <w:jc w:val="both"/>
        <w:rPr>
          <w:rFonts w:ascii="Times New Roman" w:hAnsi="Times New Roman"/>
          <w:b/>
          <w:i/>
        </w:rPr>
      </w:pPr>
      <w:r w:rsidRPr="008E5FB3">
        <w:rPr>
          <w:rFonts w:ascii="Times New Roman" w:hAnsi="Times New Roman"/>
          <w:b/>
          <w:i/>
        </w:rPr>
        <w:t>zmiana w art. 111</w:t>
      </w:r>
      <w:r w:rsidR="00080647">
        <w:rPr>
          <w:rFonts w:ascii="Times New Roman" w:hAnsi="Times New Roman"/>
          <w:b/>
          <w:i/>
        </w:rPr>
        <w:t xml:space="preserve"> pkt 16, dodanie pkt 16a</w:t>
      </w:r>
    </w:p>
    <w:p w14:paraId="0D7603DF" w14:textId="77777777" w:rsidR="00CB4517" w:rsidRPr="008E5FB3" w:rsidRDefault="00CB4517" w:rsidP="00713591">
      <w:pPr>
        <w:spacing w:line="276" w:lineRule="auto"/>
        <w:jc w:val="both"/>
        <w:rPr>
          <w:rFonts w:ascii="Times New Roman" w:hAnsi="Times New Roman"/>
          <w:b/>
          <w:i/>
        </w:rPr>
      </w:pPr>
    </w:p>
    <w:p w14:paraId="037F3531" w14:textId="77777777" w:rsidR="00CB4517" w:rsidRPr="008E5FB3" w:rsidRDefault="00CB4517" w:rsidP="00713591">
      <w:pPr>
        <w:spacing w:line="276" w:lineRule="auto"/>
        <w:jc w:val="both"/>
        <w:rPr>
          <w:rFonts w:ascii="Times New Roman" w:hAnsi="Times New Roman"/>
        </w:rPr>
      </w:pPr>
      <w:r w:rsidRPr="008E5FB3">
        <w:rPr>
          <w:rFonts w:ascii="Times New Roman" w:hAnsi="Times New Roman"/>
        </w:rPr>
        <w:t xml:space="preserve">Dotychczas ustawa o finansach publicznych nie wskazywała, że środki, o których mowa </w:t>
      </w:r>
      <w:r w:rsidRPr="008E5FB3">
        <w:rPr>
          <w:rFonts w:ascii="Times New Roman" w:hAnsi="Times New Roman"/>
        </w:rPr>
        <w:br/>
        <w:t xml:space="preserve">w art. 5 ust. 1 pkt 3 stanowią dochody budżetu państwa. Z uwagi na podobny charakter tych środków do środków, o których mowa w art. 5 ust. 3 pkt 6 należy ujednolicić przepisy w tym zakresie. W ślad za tą zmianą, proponuje się również zmiany w innych przepisach ustawy </w:t>
      </w:r>
      <w:r w:rsidRPr="008E5FB3">
        <w:rPr>
          <w:rFonts w:ascii="Times New Roman" w:hAnsi="Times New Roman"/>
        </w:rPr>
        <w:br/>
        <w:t>(m. in. art. 42 ust. 3 pkt 3, 124 ust. 1 pkt 6, art. 140 ust. 2 pkt 3, art. 154 ust. 5), tak by dostosować je w stopniu niezbędnym do realizacji przez dysponentów części budżetowych programów finansowanych z udziałem tych środków.</w:t>
      </w:r>
    </w:p>
    <w:p w14:paraId="42284E99" w14:textId="77777777" w:rsidR="00CB4517" w:rsidRPr="008E5FB3" w:rsidRDefault="00CB4517" w:rsidP="00713591">
      <w:pPr>
        <w:spacing w:line="276" w:lineRule="auto"/>
        <w:jc w:val="both"/>
        <w:rPr>
          <w:rFonts w:ascii="Times New Roman" w:hAnsi="Times New Roman"/>
        </w:rPr>
      </w:pPr>
    </w:p>
    <w:p w14:paraId="1F5C2D75" w14:textId="77777777" w:rsidR="00CB4517" w:rsidRDefault="00CB4517" w:rsidP="00713591">
      <w:pPr>
        <w:spacing w:line="276" w:lineRule="auto"/>
        <w:jc w:val="both"/>
        <w:rPr>
          <w:rFonts w:ascii="Times New Roman" w:hAnsi="Times New Roman"/>
        </w:rPr>
      </w:pPr>
      <w:r w:rsidRPr="008E5FB3">
        <w:rPr>
          <w:rFonts w:ascii="Times New Roman" w:hAnsi="Times New Roman"/>
        </w:rPr>
        <w:t xml:space="preserve">W art. 111 dodaje się pkt 16a w związku z zaleceniami Najwyższej Izby Kontroli dotyczącymi konieczności uregulowania sposobu postępowania z karami umownymi (i innymi dochodami i przychodami o podobnym charakterze) uzyskanymi przez jednostkę budżetową w wyniku </w:t>
      </w:r>
      <w:r w:rsidRPr="008E5FB3">
        <w:rPr>
          <w:rFonts w:ascii="Times New Roman" w:hAnsi="Times New Roman"/>
        </w:rPr>
        <w:lastRenderedPageBreak/>
        <w:t>potrącenia z należności dla wykonawcy w projektach finansowanych z udziałem środków europejskich.</w:t>
      </w:r>
    </w:p>
    <w:p w14:paraId="0329B776" w14:textId="77777777" w:rsidR="00875887" w:rsidRDefault="00875887" w:rsidP="00713591">
      <w:pPr>
        <w:spacing w:line="276" w:lineRule="auto"/>
        <w:jc w:val="both"/>
        <w:rPr>
          <w:rFonts w:ascii="Times New Roman" w:hAnsi="Times New Roman"/>
        </w:rPr>
      </w:pPr>
    </w:p>
    <w:p w14:paraId="726FEC54" w14:textId="76ADECD2" w:rsidR="00875887" w:rsidRDefault="00875887" w:rsidP="00713591">
      <w:pPr>
        <w:spacing w:line="276" w:lineRule="auto"/>
        <w:jc w:val="both"/>
        <w:rPr>
          <w:rFonts w:ascii="Times New Roman" w:hAnsi="Times New Roman"/>
        </w:rPr>
      </w:pPr>
      <w:r w:rsidRPr="00875887">
        <w:rPr>
          <w:rFonts w:ascii="Times New Roman" w:hAnsi="Times New Roman"/>
        </w:rPr>
        <w:t>Celem projektowanego przepisu jest wyjaśnienie wątpliwości interpretacyjnych i ujednolicenie sposobu postepowania z karami umownymi i innymi należnościami państwowych jednostek budżetowych związanymi z realizacją przez te jednostki projektów finansowanych z udziałem środków europejskich – zarówno w przypadku ich otrzymania, jak i potrącenia z należności wykonawcy. Projektowany przepis wskaże, że w przypadku wpłaty ww. należności, powinna ona zostać odprowadzona na rachunki dochodów budżetu państwa i budżetu środków europejskich – w odpowiedniej proporcji – odpowiadającej montażowi finansowemu projektu. Przepis wyjaśni także, że w przypadku potrącenia należności, jednostka nie powinna dokonywać ww. przekazania.</w:t>
      </w:r>
    </w:p>
    <w:p w14:paraId="2E48AE3B" w14:textId="77777777" w:rsidR="00CB4517" w:rsidRPr="008E5FB3" w:rsidRDefault="00CB4517" w:rsidP="00713591">
      <w:pPr>
        <w:spacing w:line="276" w:lineRule="auto"/>
        <w:jc w:val="both"/>
        <w:rPr>
          <w:rFonts w:ascii="Times New Roman" w:hAnsi="Times New Roman"/>
          <w:b/>
          <w:i/>
        </w:rPr>
      </w:pPr>
    </w:p>
    <w:p w14:paraId="3550E746" w14:textId="4EAE3A82" w:rsidR="00CB4517" w:rsidRPr="008E5FB3" w:rsidRDefault="00CB4517" w:rsidP="00713591">
      <w:pPr>
        <w:spacing w:line="276" w:lineRule="auto"/>
        <w:jc w:val="both"/>
        <w:rPr>
          <w:rFonts w:ascii="Times New Roman" w:hAnsi="Times New Roman"/>
          <w:b/>
          <w:i/>
        </w:rPr>
      </w:pPr>
      <w:r w:rsidRPr="008E5FB3">
        <w:rPr>
          <w:rFonts w:ascii="Times New Roman" w:hAnsi="Times New Roman"/>
          <w:b/>
          <w:i/>
        </w:rPr>
        <w:t xml:space="preserve">zmiana w art. 112 </w:t>
      </w:r>
      <w:r w:rsidR="00080647">
        <w:rPr>
          <w:rFonts w:ascii="Times New Roman" w:hAnsi="Times New Roman"/>
          <w:b/>
          <w:i/>
        </w:rPr>
        <w:t>ust. 1, dodanie pkt 10</w:t>
      </w:r>
    </w:p>
    <w:p w14:paraId="7BC53A19" w14:textId="77777777" w:rsidR="00CB4517" w:rsidRPr="008E5FB3" w:rsidRDefault="00CB4517" w:rsidP="00713591">
      <w:pPr>
        <w:spacing w:line="276" w:lineRule="auto"/>
        <w:jc w:val="both"/>
        <w:rPr>
          <w:rFonts w:ascii="Times New Roman" w:hAnsi="Times New Roman"/>
          <w:b/>
          <w:i/>
        </w:rPr>
      </w:pPr>
    </w:p>
    <w:p w14:paraId="503128B7" w14:textId="2CCB8B48" w:rsidR="00CB4517" w:rsidRDefault="00CB4517" w:rsidP="00713591">
      <w:pPr>
        <w:spacing w:line="276" w:lineRule="auto"/>
        <w:jc w:val="both"/>
        <w:rPr>
          <w:rFonts w:ascii="Times New Roman" w:hAnsi="Times New Roman"/>
        </w:rPr>
      </w:pPr>
      <w:r w:rsidRPr="008E5FB3">
        <w:rPr>
          <w:rFonts w:ascii="Times New Roman" w:hAnsi="Times New Roman"/>
        </w:rPr>
        <w:t>Proponowana zmiana polega na wskazaniu kategorii wydatków budżetu związanych z członkostwem Polski w międzynarodowych instytucjach finansowych i organizacjach międzynarodowych.</w:t>
      </w:r>
      <w:r w:rsidR="00157E81">
        <w:rPr>
          <w:rFonts w:ascii="Times New Roman" w:hAnsi="Times New Roman"/>
        </w:rPr>
        <w:t xml:space="preserve"> </w:t>
      </w:r>
      <w:r w:rsidRPr="008E5FB3">
        <w:rPr>
          <w:rFonts w:ascii="Times New Roman" w:hAnsi="Times New Roman"/>
        </w:rPr>
        <w:t>Obejmie ona wpłaty dobrowolne, zwrotne i bezzwrotne, na pokrycie wydatków związanych z różnymi inicjatywami i funduszami powierniczymi ustanawianymi lub pode</w:t>
      </w:r>
      <w:r w:rsidR="00157E81">
        <w:rPr>
          <w:rFonts w:ascii="Times New Roman" w:hAnsi="Times New Roman"/>
        </w:rPr>
        <w:t>jmowanymi przez te instytucje i </w:t>
      </w:r>
      <w:r w:rsidRPr="008E5FB3">
        <w:rPr>
          <w:rFonts w:ascii="Times New Roman" w:hAnsi="Times New Roman"/>
        </w:rPr>
        <w:t>organizacje.</w:t>
      </w:r>
    </w:p>
    <w:p w14:paraId="19D0D89C" w14:textId="77777777" w:rsidR="007E0175" w:rsidRPr="00965AA8" w:rsidRDefault="007E0175" w:rsidP="00713591">
      <w:pPr>
        <w:spacing w:line="276" w:lineRule="auto"/>
        <w:jc w:val="both"/>
        <w:rPr>
          <w:rFonts w:ascii="Times New Roman" w:hAnsi="Times New Roman"/>
        </w:rPr>
      </w:pPr>
    </w:p>
    <w:p w14:paraId="08F3E2B4" w14:textId="05C97463" w:rsidR="00CB4517" w:rsidRPr="008E5FB3" w:rsidRDefault="00EA5A8C" w:rsidP="00713591">
      <w:pPr>
        <w:spacing w:line="276" w:lineRule="auto"/>
        <w:jc w:val="both"/>
        <w:rPr>
          <w:rFonts w:ascii="Times New Roman" w:hAnsi="Times New Roman"/>
          <w:b/>
          <w:i/>
        </w:rPr>
      </w:pPr>
      <w:r>
        <w:rPr>
          <w:rFonts w:ascii="Times New Roman" w:hAnsi="Times New Roman"/>
          <w:b/>
          <w:i/>
        </w:rPr>
        <w:t xml:space="preserve">zmiana w </w:t>
      </w:r>
      <w:r w:rsidR="00CB4517" w:rsidRPr="008E5FB3">
        <w:rPr>
          <w:rFonts w:ascii="Times New Roman" w:hAnsi="Times New Roman"/>
          <w:b/>
          <w:i/>
        </w:rPr>
        <w:t>art. 112aa</w:t>
      </w:r>
      <w:r w:rsidR="009B6D35">
        <w:rPr>
          <w:rFonts w:ascii="Times New Roman" w:hAnsi="Times New Roman"/>
          <w:b/>
          <w:i/>
        </w:rPr>
        <w:t xml:space="preserve"> ust. 4 pkt 1–</w:t>
      </w:r>
      <w:r w:rsidR="003D31A6">
        <w:rPr>
          <w:rFonts w:ascii="Times New Roman" w:hAnsi="Times New Roman"/>
          <w:b/>
          <w:i/>
        </w:rPr>
        <w:t>3</w:t>
      </w:r>
    </w:p>
    <w:p w14:paraId="75A2C7E8" w14:textId="77777777" w:rsidR="00617225" w:rsidRDefault="00617225" w:rsidP="00713591">
      <w:pPr>
        <w:spacing w:line="276" w:lineRule="auto"/>
        <w:jc w:val="both"/>
        <w:rPr>
          <w:rFonts w:ascii="Times New Roman" w:hAnsi="Times New Roman"/>
        </w:rPr>
      </w:pPr>
    </w:p>
    <w:p w14:paraId="4503C5C3" w14:textId="055341B8" w:rsidR="00D354F9" w:rsidRPr="00EA5A8C" w:rsidRDefault="00617225" w:rsidP="00713591">
      <w:pPr>
        <w:spacing w:line="276" w:lineRule="auto"/>
        <w:jc w:val="both"/>
        <w:rPr>
          <w:rFonts w:ascii="Times New Roman" w:hAnsi="Times New Roman"/>
        </w:rPr>
      </w:pPr>
      <w:r w:rsidRPr="00EA5A8C">
        <w:rPr>
          <w:rFonts w:ascii="Times New Roman" w:hAnsi="Times New Roman"/>
        </w:rPr>
        <w:t xml:space="preserve">Ze względu na uchylenie </w:t>
      </w:r>
      <w:r w:rsidR="0073270F">
        <w:rPr>
          <w:rFonts w:ascii="Times New Roman" w:hAnsi="Times New Roman"/>
        </w:rPr>
        <w:t xml:space="preserve">art. 38a </w:t>
      </w:r>
      <w:r w:rsidRPr="00EA5A8C">
        <w:rPr>
          <w:rFonts w:ascii="Times New Roman" w:hAnsi="Times New Roman"/>
        </w:rPr>
        <w:t xml:space="preserve">zasadne są zmiany w ust. </w:t>
      </w:r>
      <w:r>
        <w:rPr>
          <w:rFonts w:ascii="Times New Roman" w:hAnsi="Times New Roman"/>
        </w:rPr>
        <w:t xml:space="preserve">4 w pkt 1-3 </w:t>
      </w:r>
      <w:r w:rsidRPr="00EA5A8C">
        <w:rPr>
          <w:rFonts w:ascii="Times New Roman" w:hAnsi="Times New Roman"/>
        </w:rPr>
        <w:t>dostosowujące ich brzmienie do wskazanych powyżej zmian.</w:t>
      </w:r>
    </w:p>
    <w:p w14:paraId="62CB8A5A" w14:textId="77777777" w:rsidR="00CB4517" w:rsidRDefault="00CB4517" w:rsidP="00713591">
      <w:pPr>
        <w:spacing w:line="276" w:lineRule="auto"/>
        <w:jc w:val="both"/>
        <w:rPr>
          <w:rFonts w:ascii="Times New Roman" w:hAnsi="Times New Roman"/>
          <w:b/>
          <w:i/>
        </w:rPr>
      </w:pPr>
    </w:p>
    <w:p w14:paraId="2CD71FA0" w14:textId="701BCDEE" w:rsidR="00BF445D" w:rsidRDefault="00BF445D" w:rsidP="00713591">
      <w:pPr>
        <w:spacing w:line="276" w:lineRule="auto"/>
        <w:jc w:val="both"/>
        <w:rPr>
          <w:rFonts w:ascii="Times New Roman" w:hAnsi="Times New Roman"/>
          <w:b/>
          <w:i/>
        </w:rPr>
      </w:pPr>
      <w:r>
        <w:rPr>
          <w:rFonts w:ascii="Times New Roman" w:hAnsi="Times New Roman"/>
          <w:b/>
          <w:i/>
        </w:rPr>
        <w:t>zmiana w art. 117 ust.</w:t>
      </w:r>
      <w:r w:rsidR="0003095A">
        <w:rPr>
          <w:rFonts w:ascii="Times New Roman" w:hAnsi="Times New Roman"/>
          <w:b/>
          <w:i/>
        </w:rPr>
        <w:t xml:space="preserve"> 1</w:t>
      </w:r>
    </w:p>
    <w:p w14:paraId="52AFAA8E" w14:textId="77777777" w:rsidR="00BF445D" w:rsidRDefault="00BF445D" w:rsidP="00713591">
      <w:pPr>
        <w:spacing w:line="276" w:lineRule="auto"/>
        <w:jc w:val="both"/>
        <w:rPr>
          <w:rFonts w:ascii="Times New Roman" w:hAnsi="Times New Roman"/>
          <w:b/>
          <w:i/>
        </w:rPr>
      </w:pPr>
    </w:p>
    <w:p w14:paraId="32859BE3" w14:textId="221E8F2F" w:rsidR="006D6E5F" w:rsidRPr="006A5137" w:rsidRDefault="006D6E5F" w:rsidP="006D6E5F">
      <w:pPr>
        <w:spacing w:line="276" w:lineRule="auto"/>
        <w:jc w:val="both"/>
        <w:rPr>
          <w:rFonts w:ascii="Times New Roman" w:hAnsi="Times New Roman"/>
        </w:rPr>
      </w:pPr>
      <w:r>
        <w:rPr>
          <w:rFonts w:ascii="Times New Roman" w:hAnsi="Times New Roman"/>
        </w:rPr>
        <w:t>W</w:t>
      </w:r>
      <w:r w:rsidRPr="006D6E5F">
        <w:rPr>
          <w:rFonts w:ascii="Times New Roman" w:hAnsi="Times New Roman"/>
        </w:rPr>
        <w:t xml:space="preserve"> związku z wejściem w życie rozporządzenia Parlamentu</w:t>
      </w:r>
      <w:r>
        <w:rPr>
          <w:rFonts w:ascii="Times New Roman" w:hAnsi="Times New Roman"/>
        </w:rPr>
        <w:t xml:space="preserve"> </w:t>
      </w:r>
      <w:r w:rsidRPr="006D6E5F">
        <w:rPr>
          <w:rFonts w:ascii="Times New Roman" w:hAnsi="Times New Roman"/>
        </w:rPr>
        <w:t xml:space="preserve">Europejskiego i Rady (UE) 2021/2116 z dnia 2 grudnia 2021 r. </w:t>
      </w:r>
      <w:r w:rsidRPr="009B6D35">
        <w:rPr>
          <w:rFonts w:ascii="Times New Roman" w:hAnsi="Times New Roman"/>
          <w:i/>
        </w:rPr>
        <w:t>w sprawie finansowania wspólnej polityki rolnej, zarządzania nią i monitorowania jej oraz uchylenia rozporządzenia (UE) nr 1306/2013</w:t>
      </w:r>
      <w:r w:rsidRPr="006D6E5F">
        <w:rPr>
          <w:rFonts w:ascii="Times New Roman" w:hAnsi="Times New Roman"/>
        </w:rPr>
        <w:t xml:space="preserve"> (D</w:t>
      </w:r>
      <w:r w:rsidR="009B6D35">
        <w:rPr>
          <w:rFonts w:ascii="Times New Roman" w:hAnsi="Times New Roman"/>
        </w:rPr>
        <w:t>z</w:t>
      </w:r>
      <w:r w:rsidRPr="006D6E5F">
        <w:rPr>
          <w:rFonts w:ascii="Times New Roman" w:hAnsi="Times New Roman"/>
        </w:rPr>
        <w:t>.</w:t>
      </w:r>
      <w:r w:rsidR="009B6D35">
        <w:rPr>
          <w:rFonts w:ascii="Times New Roman" w:hAnsi="Times New Roman"/>
        </w:rPr>
        <w:t xml:space="preserve"> </w:t>
      </w:r>
      <w:r w:rsidRPr="006D6E5F">
        <w:rPr>
          <w:rFonts w:ascii="Times New Roman" w:hAnsi="Times New Roman"/>
        </w:rPr>
        <w:t>U</w:t>
      </w:r>
      <w:r w:rsidR="009B6D35">
        <w:rPr>
          <w:rFonts w:ascii="Times New Roman" w:hAnsi="Times New Roman"/>
        </w:rPr>
        <w:t xml:space="preserve">rz. </w:t>
      </w:r>
      <w:r w:rsidRPr="006D6E5F">
        <w:rPr>
          <w:rFonts w:ascii="Times New Roman" w:hAnsi="Times New Roman"/>
        </w:rPr>
        <w:t>UE.</w:t>
      </w:r>
      <w:r w:rsidR="009B6D35">
        <w:rPr>
          <w:rFonts w:ascii="Times New Roman" w:hAnsi="Times New Roman"/>
        </w:rPr>
        <w:t xml:space="preserve"> </w:t>
      </w:r>
      <w:r w:rsidRPr="006D6E5F">
        <w:rPr>
          <w:rFonts w:ascii="Times New Roman" w:hAnsi="Times New Roman"/>
        </w:rPr>
        <w:t>L N</w:t>
      </w:r>
      <w:r w:rsidR="009B6D35">
        <w:rPr>
          <w:rFonts w:ascii="Times New Roman" w:hAnsi="Times New Roman"/>
        </w:rPr>
        <w:t>r</w:t>
      </w:r>
      <w:r w:rsidRPr="006D6E5F">
        <w:rPr>
          <w:rFonts w:ascii="Times New Roman" w:hAnsi="Times New Roman"/>
        </w:rPr>
        <w:t xml:space="preserve"> 435, str. 187) </w:t>
      </w:r>
      <w:r>
        <w:rPr>
          <w:rFonts w:ascii="Times New Roman" w:hAnsi="Times New Roman"/>
        </w:rPr>
        <w:t xml:space="preserve">zaproponowano zmianę brzmienia </w:t>
      </w:r>
      <w:r w:rsidRPr="006D6E5F">
        <w:rPr>
          <w:rFonts w:ascii="Times New Roman" w:hAnsi="Times New Roman"/>
        </w:rPr>
        <w:t>art. 111 pkt 16 oraz art. 117 ust. 1 obowiązującej ustawy o finansach publicznych,</w:t>
      </w:r>
      <w:r>
        <w:rPr>
          <w:rFonts w:ascii="Times New Roman" w:hAnsi="Times New Roman"/>
        </w:rPr>
        <w:t xml:space="preserve"> </w:t>
      </w:r>
      <w:r w:rsidRPr="006D6E5F">
        <w:rPr>
          <w:rFonts w:ascii="Times New Roman" w:hAnsi="Times New Roman"/>
        </w:rPr>
        <w:t>poprzez odwołanie w obu przepisach do tego rozporządzenia. Weszło ono w życie</w:t>
      </w:r>
      <w:r>
        <w:rPr>
          <w:rFonts w:ascii="Times New Roman" w:hAnsi="Times New Roman"/>
        </w:rPr>
        <w:t xml:space="preserve"> </w:t>
      </w:r>
      <w:r w:rsidRPr="006D6E5F">
        <w:rPr>
          <w:rFonts w:ascii="Times New Roman" w:hAnsi="Times New Roman"/>
        </w:rPr>
        <w:t>następne</w:t>
      </w:r>
      <w:r>
        <w:rPr>
          <w:rFonts w:ascii="Times New Roman" w:hAnsi="Times New Roman"/>
        </w:rPr>
        <w:t>go dnia po jego opublikowaniu w </w:t>
      </w:r>
      <w:r w:rsidRPr="006D6E5F">
        <w:rPr>
          <w:rFonts w:ascii="Times New Roman" w:hAnsi="Times New Roman"/>
        </w:rPr>
        <w:t>Dzienniku Urzędowym Unii Europejskiej i</w:t>
      </w:r>
      <w:r>
        <w:rPr>
          <w:rFonts w:ascii="Times New Roman" w:hAnsi="Times New Roman"/>
        </w:rPr>
        <w:t xml:space="preserve"> </w:t>
      </w:r>
      <w:r w:rsidRPr="006D6E5F">
        <w:rPr>
          <w:rFonts w:ascii="Times New Roman" w:hAnsi="Times New Roman"/>
        </w:rPr>
        <w:t>w omawianym zakresie będzie obowiązywać od dnia 1 stycznia 2023 r. Powyższa</w:t>
      </w:r>
      <w:r>
        <w:rPr>
          <w:rFonts w:ascii="Times New Roman" w:hAnsi="Times New Roman"/>
        </w:rPr>
        <w:t xml:space="preserve"> </w:t>
      </w:r>
      <w:r w:rsidRPr="006D6E5F">
        <w:rPr>
          <w:rFonts w:ascii="Times New Roman" w:hAnsi="Times New Roman"/>
        </w:rPr>
        <w:t>propozycja ma na celu zachowanie ciągłości podstaw prawnych dla przepływów</w:t>
      </w:r>
      <w:r>
        <w:rPr>
          <w:rFonts w:ascii="Times New Roman" w:hAnsi="Times New Roman"/>
        </w:rPr>
        <w:t xml:space="preserve"> </w:t>
      </w:r>
      <w:r w:rsidRPr="006D6E5F">
        <w:rPr>
          <w:rFonts w:ascii="Times New Roman" w:hAnsi="Times New Roman"/>
        </w:rPr>
        <w:t>finansowych w ramach wspólnej polityki rolnej w okresie programowania 2023</w:t>
      </w:r>
      <w:r w:rsidR="009B6D35">
        <w:rPr>
          <w:rFonts w:ascii="Times New Roman" w:hAnsi="Times New Roman"/>
        </w:rPr>
        <w:t>–</w:t>
      </w:r>
      <w:r w:rsidRPr="006D6E5F">
        <w:rPr>
          <w:rFonts w:ascii="Times New Roman" w:hAnsi="Times New Roman"/>
        </w:rPr>
        <w:t>2027.</w:t>
      </w:r>
    </w:p>
    <w:p w14:paraId="458C4D7D" w14:textId="77777777" w:rsidR="006D6E5F" w:rsidRDefault="006D6E5F" w:rsidP="00713591">
      <w:pPr>
        <w:spacing w:line="276" w:lineRule="auto"/>
        <w:jc w:val="both"/>
        <w:rPr>
          <w:rFonts w:ascii="Times New Roman" w:hAnsi="Times New Roman"/>
          <w:b/>
          <w:i/>
        </w:rPr>
      </w:pPr>
    </w:p>
    <w:p w14:paraId="6B85FE72" w14:textId="460BF938" w:rsidR="00EF77D0" w:rsidRDefault="00EF77D0" w:rsidP="00713591">
      <w:pPr>
        <w:spacing w:line="276" w:lineRule="auto"/>
        <w:jc w:val="both"/>
        <w:rPr>
          <w:rFonts w:ascii="Times New Roman" w:hAnsi="Times New Roman"/>
          <w:b/>
          <w:i/>
        </w:rPr>
      </w:pPr>
      <w:r>
        <w:rPr>
          <w:rFonts w:ascii="Times New Roman" w:hAnsi="Times New Roman"/>
          <w:b/>
          <w:i/>
        </w:rPr>
        <w:t>zmiana art. 120</w:t>
      </w:r>
    </w:p>
    <w:p w14:paraId="08F8A62E" w14:textId="77777777" w:rsidR="00EF77D0" w:rsidRDefault="00EF77D0" w:rsidP="00713591">
      <w:pPr>
        <w:spacing w:line="276" w:lineRule="auto"/>
        <w:jc w:val="both"/>
        <w:rPr>
          <w:rFonts w:ascii="Times New Roman" w:hAnsi="Times New Roman"/>
          <w:b/>
          <w:i/>
        </w:rPr>
      </w:pPr>
    </w:p>
    <w:p w14:paraId="382EFC01" w14:textId="5E0ADFBC" w:rsidR="00BF445D" w:rsidRPr="00CF175A" w:rsidRDefault="0073270F" w:rsidP="00713591">
      <w:pPr>
        <w:spacing w:line="276" w:lineRule="auto"/>
        <w:jc w:val="both"/>
        <w:rPr>
          <w:rFonts w:ascii="Times New Roman" w:hAnsi="Times New Roman"/>
        </w:rPr>
      </w:pPr>
      <w:r>
        <w:rPr>
          <w:rFonts w:ascii="Times New Roman" w:hAnsi="Times New Roman"/>
        </w:rPr>
        <w:t xml:space="preserve">W art. 120 zaproponowano zmianę sformułowania „rezerwa celowa” na „rezerwy celowe”, ponieważ </w:t>
      </w:r>
      <w:r w:rsidR="00EF77D0" w:rsidRPr="00C51AB0">
        <w:rPr>
          <w:rFonts w:ascii="Times New Roman" w:hAnsi="Times New Roman"/>
        </w:rPr>
        <w:t>w budżecie środków europejskich ujmuje się wi</w:t>
      </w:r>
      <w:r>
        <w:rPr>
          <w:rFonts w:ascii="Times New Roman" w:hAnsi="Times New Roman"/>
        </w:rPr>
        <w:t>ęcej niż jedną rezerwę celową. Ponadto i</w:t>
      </w:r>
      <w:r w:rsidR="00EF77D0" w:rsidRPr="00C51AB0">
        <w:rPr>
          <w:rFonts w:ascii="Times New Roman" w:hAnsi="Times New Roman"/>
        </w:rPr>
        <w:t>ch ilość może ulec zmianie.</w:t>
      </w:r>
    </w:p>
    <w:p w14:paraId="35879203" w14:textId="32717744" w:rsidR="00CB4517" w:rsidRPr="008E5FB3" w:rsidRDefault="00C15A16" w:rsidP="00713591">
      <w:pPr>
        <w:spacing w:line="276" w:lineRule="auto"/>
        <w:jc w:val="both"/>
        <w:rPr>
          <w:rFonts w:ascii="Times New Roman" w:hAnsi="Times New Roman"/>
          <w:b/>
        </w:rPr>
      </w:pPr>
      <w:r>
        <w:rPr>
          <w:rFonts w:ascii="Times New Roman" w:hAnsi="Times New Roman"/>
          <w:b/>
          <w:i/>
        </w:rPr>
        <w:lastRenderedPageBreak/>
        <w:t>z</w:t>
      </w:r>
      <w:r w:rsidR="003D31A6">
        <w:rPr>
          <w:rFonts w:ascii="Times New Roman" w:hAnsi="Times New Roman"/>
          <w:b/>
          <w:i/>
        </w:rPr>
        <w:t>miana</w:t>
      </w:r>
      <w:r>
        <w:rPr>
          <w:rFonts w:ascii="Times New Roman" w:hAnsi="Times New Roman"/>
          <w:b/>
          <w:i/>
        </w:rPr>
        <w:t xml:space="preserve"> </w:t>
      </w:r>
      <w:r w:rsidR="00CB4517" w:rsidRPr="008E5FB3">
        <w:rPr>
          <w:rFonts w:ascii="Times New Roman" w:hAnsi="Times New Roman"/>
          <w:b/>
          <w:i/>
        </w:rPr>
        <w:t xml:space="preserve">art. 123 </w:t>
      </w:r>
    </w:p>
    <w:p w14:paraId="2CF94579" w14:textId="77777777" w:rsidR="00CB4517" w:rsidRPr="008E5FB3" w:rsidRDefault="00CB4517" w:rsidP="00713591">
      <w:pPr>
        <w:spacing w:line="276" w:lineRule="auto"/>
        <w:jc w:val="both"/>
        <w:rPr>
          <w:rFonts w:ascii="Times New Roman" w:eastAsia="Calibri" w:hAnsi="Times New Roman"/>
        </w:rPr>
      </w:pPr>
    </w:p>
    <w:p w14:paraId="71EAF843" w14:textId="27E10680" w:rsidR="00CB4517" w:rsidRPr="008E5FB3" w:rsidRDefault="00CB4517" w:rsidP="00713591">
      <w:pPr>
        <w:spacing w:line="276" w:lineRule="auto"/>
        <w:jc w:val="both"/>
        <w:rPr>
          <w:rFonts w:ascii="Times New Roman" w:hAnsi="Times New Roman"/>
        </w:rPr>
      </w:pPr>
      <w:r w:rsidRPr="008E5FB3">
        <w:rPr>
          <w:rFonts w:ascii="Times New Roman" w:eastAsia="Calibri" w:hAnsi="Times New Roman"/>
        </w:rPr>
        <w:t xml:space="preserve">Z uwagi na potrzebę dookreślenia zawartości planów finansowych załączanych do ustawy budżetowej, proponuje się dodanie odwołania do art. 21, art. 24 i art. 31, bowiem przepisy </w:t>
      </w:r>
      <w:r w:rsidRPr="008E5FB3">
        <w:rPr>
          <w:rFonts w:ascii="Times New Roman" w:eastAsia="Calibri" w:hAnsi="Times New Roman"/>
        </w:rPr>
        <w:br/>
        <w:t xml:space="preserve">te określają jakie elementy powinny zawierać roczne plany finansowe jednostek. W obecnym brzmieniu, przepis art. 123 nie jest spójny z tymi </w:t>
      </w:r>
      <w:r w:rsidR="003E5B1D">
        <w:rPr>
          <w:rFonts w:ascii="Times New Roman" w:eastAsia="Calibri" w:hAnsi="Times New Roman"/>
        </w:rPr>
        <w:t>przepisami</w:t>
      </w:r>
      <w:r w:rsidRPr="008E5FB3">
        <w:rPr>
          <w:rFonts w:ascii="Times New Roman" w:eastAsia="Calibri" w:hAnsi="Times New Roman"/>
        </w:rPr>
        <w:t xml:space="preserve">. Ponadto celem </w:t>
      </w:r>
      <w:r w:rsidR="003E5B1D">
        <w:rPr>
          <w:rFonts w:ascii="Times New Roman" w:eastAsia="Calibri" w:hAnsi="Times New Roman"/>
        </w:rPr>
        <w:t xml:space="preserve">regulacji </w:t>
      </w:r>
      <w:r w:rsidRPr="008E5FB3">
        <w:rPr>
          <w:rFonts w:ascii="Times New Roman" w:eastAsia="Calibri" w:hAnsi="Times New Roman"/>
        </w:rPr>
        <w:t xml:space="preserve">jest zapewnienie możliwości dostosowania </w:t>
      </w:r>
      <w:r w:rsidRPr="008E5FB3">
        <w:rPr>
          <w:rFonts w:ascii="Times New Roman" w:hAnsi="Times New Roman"/>
          <w:bCs/>
        </w:rPr>
        <w:t xml:space="preserve">zakresu danych zawieranych w projektach planów finansowych tj. umożliwienie przekazywania danych, które w danym roku należy uznać za niezbędne w procesie projektowania ustawy budżetowej. </w:t>
      </w:r>
    </w:p>
    <w:p w14:paraId="5E432337" w14:textId="77777777" w:rsidR="00CB4517" w:rsidRPr="008E5FB3" w:rsidRDefault="00CB4517" w:rsidP="00713591">
      <w:pPr>
        <w:spacing w:line="276" w:lineRule="auto"/>
        <w:jc w:val="both"/>
        <w:rPr>
          <w:rFonts w:ascii="Times New Roman" w:hAnsi="Times New Roman"/>
        </w:rPr>
      </w:pPr>
    </w:p>
    <w:p w14:paraId="50AADF01" w14:textId="0EDF72AE" w:rsidR="00CB4517" w:rsidRPr="008E5FB3" w:rsidRDefault="00CB4517" w:rsidP="00713591">
      <w:pPr>
        <w:spacing w:line="276" w:lineRule="auto"/>
        <w:jc w:val="both"/>
        <w:rPr>
          <w:rFonts w:ascii="Times New Roman" w:hAnsi="Times New Roman"/>
          <w:b/>
          <w:i/>
        </w:rPr>
      </w:pPr>
      <w:r w:rsidRPr="008E5FB3">
        <w:rPr>
          <w:rFonts w:ascii="Times New Roman" w:hAnsi="Times New Roman"/>
          <w:b/>
          <w:i/>
        </w:rPr>
        <w:t>zmiana w art. 124</w:t>
      </w:r>
      <w:r w:rsidR="003D31A6">
        <w:rPr>
          <w:rFonts w:ascii="Times New Roman" w:hAnsi="Times New Roman"/>
          <w:b/>
          <w:i/>
        </w:rPr>
        <w:t xml:space="preserve"> ust. 1 pkt 6</w:t>
      </w:r>
    </w:p>
    <w:p w14:paraId="463A0407" w14:textId="77777777" w:rsidR="00CB4517" w:rsidRPr="008E5FB3" w:rsidRDefault="00CB4517" w:rsidP="00713591">
      <w:pPr>
        <w:spacing w:line="276" w:lineRule="auto"/>
        <w:jc w:val="both"/>
        <w:rPr>
          <w:rFonts w:ascii="Times New Roman" w:hAnsi="Times New Roman"/>
          <w:b/>
          <w:i/>
        </w:rPr>
      </w:pPr>
    </w:p>
    <w:p w14:paraId="3AB95224" w14:textId="77777777" w:rsidR="00CB4517" w:rsidRDefault="00CB4517" w:rsidP="00713591">
      <w:pPr>
        <w:spacing w:line="276" w:lineRule="auto"/>
        <w:jc w:val="both"/>
        <w:rPr>
          <w:rFonts w:ascii="Times New Roman" w:eastAsia="Calibri" w:hAnsi="Times New Roman"/>
        </w:rPr>
      </w:pPr>
      <w:r w:rsidRPr="008E5FB3">
        <w:rPr>
          <w:rFonts w:ascii="Times New Roman" w:eastAsia="Calibri" w:hAnsi="Times New Roman"/>
        </w:rPr>
        <w:t xml:space="preserve">Proponowana zmiana ma na celu zaliczenie do grupy wydatków budżetu państwa nie tylko wydatków na realizację programów finansowanych z udziałem środków, o których mowa </w:t>
      </w:r>
      <w:r w:rsidRPr="008E5FB3">
        <w:rPr>
          <w:rFonts w:ascii="Times New Roman" w:eastAsia="Calibri" w:hAnsi="Times New Roman"/>
        </w:rPr>
        <w:br/>
        <w:t>w art. 5 ust. 1 pkt 2, ale również na realizację programów finansowanych z udziałem środków, o których mowa w art. 5 ust. 1 pkt 3, czyli innych niż wymienionych w ust. 1 pkt 2 tego artykułu środków pochodzących ze źródeł zagranicznych niepodlegających zwrotowi. Regulacja ta ma związek ze zmianą w art. 111 pkt 16, w której środki, o których mowa w art. 5 ust. 1 pkt 3 zaliczono do dochodów budżetu państwa. Stąd umieszczenie wydatków na realizację programów finansowanych z udziałem tych środków w jednej z grup wydatków budżetu państwa. Przyczyni się to do sprawniejszej realizacji projektów z udziałem tych środków.</w:t>
      </w:r>
    </w:p>
    <w:p w14:paraId="6F63AC94" w14:textId="77777777" w:rsidR="00C2770D" w:rsidRPr="008E5FB3" w:rsidRDefault="00C2770D" w:rsidP="00713591">
      <w:pPr>
        <w:spacing w:line="276" w:lineRule="auto"/>
        <w:jc w:val="both"/>
        <w:rPr>
          <w:rFonts w:ascii="Times New Roman" w:eastAsia="Calibri" w:hAnsi="Times New Roman"/>
        </w:rPr>
      </w:pPr>
    </w:p>
    <w:p w14:paraId="3FF35DD9" w14:textId="616E2829" w:rsidR="00CB4517" w:rsidRPr="008E5FB3" w:rsidRDefault="00CB4517" w:rsidP="00713591">
      <w:pPr>
        <w:spacing w:line="276" w:lineRule="auto"/>
        <w:jc w:val="both"/>
        <w:rPr>
          <w:rFonts w:ascii="Times New Roman" w:hAnsi="Times New Roman"/>
          <w:b/>
          <w:i/>
        </w:rPr>
      </w:pPr>
      <w:r w:rsidRPr="008E5FB3">
        <w:rPr>
          <w:rFonts w:ascii="Times New Roman" w:hAnsi="Times New Roman"/>
          <w:b/>
          <w:i/>
        </w:rPr>
        <w:t>zmiana w art. 125</w:t>
      </w:r>
      <w:r w:rsidR="003D31A6">
        <w:rPr>
          <w:rFonts w:ascii="Times New Roman" w:hAnsi="Times New Roman"/>
          <w:b/>
          <w:i/>
        </w:rPr>
        <w:t>, uchylenie ust. 1 i zmiana ust. 2</w:t>
      </w:r>
      <w:r w:rsidR="001C1204">
        <w:rPr>
          <w:rFonts w:ascii="Times New Roman" w:hAnsi="Times New Roman"/>
          <w:b/>
          <w:i/>
        </w:rPr>
        <w:t xml:space="preserve"> i 3</w:t>
      </w:r>
    </w:p>
    <w:p w14:paraId="76641948" w14:textId="77777777" w:rsidR="00CB4517" w:rsidRPr="008E5FB3" w:rsidRDefault="00CB4517" w:rsidP="00713591">
      <w:pPr>
        <w:spacing w:line="276" w:lineRule="auto"/>
        <w:jc w:val="both"/>
        <w:rPr>
          <w:rFonts w:ascii="Times New Roman" w:hAnsi="Times New Roman"/>
        </w:rPr>
      </w:pPr>
    </w:p>
    <w:p w14:paraId="792ADBFC" w14:textId="63152165" w:rsidR="00CB4517" w:rsidRPr="008E5FB3" w:rsidRDefault="00CB4517" w:rsidP="00713591">
      <w:pPr>
        <w:spacing w:line="276" w:lineRule="auto"/>
        <w:jc w:val="both"/>
        <w:rPr>
          <w:rFonts w:ascii="Times New Roman" w:hAnsi="Times New Roman"/>
          <w:color w:val="000000"/>
        </w:rPr>
      </w:pPr>
      <w:r w:rsidRPr="008E5FB3">
        <w:rPr>
          <w:rFonts w:ascii="Times New Roman" w:hAnsi="Times New Roman"/>
        </w:rPr>
        <w:t xml:space="preserve">Zmiana w art. 125 polega na uchyleniu ust. 1 i przeniesieniu regulacji dotyczącej sposobu </w:t>
      </w:r>
      <w:r w:rsidRPr="008E5FB3">
        <w:rPr>
          <w:rFonts w:ascii="Times New Roman" w:hAnsi="Times New Roman"/>
          <w:color w:val="000000"/>
        </w:rPr>
        <w:t xml:space="preserve">planowania w ustawie budżetowej wydatków z budżetu państwa z tytułu środków </w:t>
      </w:r>
      <w:r w:rsidR="002005EF">
        <w:rPr>
          <w:rFonts w:ascii="Times New Roman" w:hAnsi="Times New Roman"/>
          <w:color w:val="000000"/>
        </w:rPr>
        <w:t>własnych UE</w:t>
      </w:r>
      <w:r w:rsidRPr="008E5FB3">
        <w:rPr>
          <w:rFonts w:ascii="Times New Roman" w:hAnsi="Times New Roman"/>
          <w:color w:val="000000"/>
        </w:rPr>
        <w:t xml:space="preserve">. W związku z tym, że kwestia ta dotyczy etapu projektowania ustawy budżetowej </w:t>
      </w:r>
      <w:r w:rsidR="009B6D35">
        <w:rPr>
          <w:rFonts w:ascii="Times New Roman" w:hAnsi="Times New Roman"/>
          <w:color w:val="000000"/>
        </w:rPr>
        <w:t>–</w:t>
      </w:r>
      <w:r w:rsidRPr="008E5FB3">
        <w:rPr>
          <w:rFonts w:ascii="Times New Roman" w:hAnsi="Times New Roman"/>
          <w:color w:val="000000"/>
        </w:rPr>
        <w:t xml:space="preserve"> należy tę regulację przenieść z Rozdziału 3 „Przeznaczenie wydatków budżetu państwa” do Rozdziału 4 „Tryb opracowywania i uchwalania budżetu państwa”.</w:t>
      </w:r>
    </w:p>
    <w:p w14:paraId="7C46440F" w14:textId="77777777" w:rsidR="00CB4517" w:rsidRPr="008E5FB3" w:rsidRDefault="00CB4517" w:rsidP="00713591">
      <w:pPr>
        <w:spacing w:line="276" w:lineRule="auto"/>
        <w:jc w:val="both"/>
        <w:rPr>
          <w:rFonts w:ascii="Times New Roman" w:hAnsi="Times New Roman"/>
          <w:color w:val="000000"/>
        </w:rPr>
      </w:pPr>
    </w:p>
    <w:p w14:paraId="73865A7C" w14:textId="28F6CCF1" w:rsidR="00AA4581" w:rsidRDefault="003329CD" w:rsidP="002F4680">
      <w:pPr>
        <w:spacing w:line="276" w:lineRule="auto"/>
        <w:jc w:val="both"/>
        <w:rPr>
          <w:rFonts w:ascii="Times New Roman" w:hAnsi="Times New Roman"/>
          <w:color w:val="000000"/>
        </w:rPr>
      </w:pPr>
      <w:r>
        <w:rPr>
          <w:rFonts w:ascii="Times New Roman" w:hAnsi="Times New Roman"/>
          <w:color w:val="000000"/>
        </w:rPr>
        <w:t>K</w:t>
      </w:r>
      <w:r w:rsidR="00CB4517" w:rsidRPr="008E5FB3">
        <w:rPr>
          <w:rFonts w:ascii="Times New Roman" w:hAnsi="Times New Roman"/>
          <w:color w:val="000000"/>
        </w:rPr>
        <w:t xml:space="preserve">onieczność zmiany art. 125 ust. 2 ustawy wynika z </w:t>
      </w:r>
      <w:r w:rsidR="007F4DC3">
        <w:rPr>
          <w:rFonts w:ascii="Times New Roman" w:hAnsi="Times New Roman"/>
          <w:color w:val="000000"/>
        </w:rPr>
        <w:t xml:space="preserve">wejścia w życie </w:t>
      </w:r>
      <w:r w:rsidR="00CB4517" w:rsidRPr="008E5FB3">
        <w:rPr>
          <w:rFonts w:ascii="Times New Roman" w:hAnsi="Times New Roman"/>
          <w:color w:val="000000"/>
        </w:rPr>
        <w:t xml:space="preserve">decyzji (UE, </w:t>
      </w:r>
      <w:proofErr w:type="spellStart"/>
      <w:r w:rsidR="00CB4517" w:rsidRPr="008E5FB3">
        <w:rPr>
          <w:rFonts w:ascii="Times New Roman" w:hAnsi="Times New Roman"/>
          <w:color w:val="000000"/>
        </w:rPr>
        <w:t>Euratom</w:t>
      </w:r>
      <w:proofErr w:type="spellEnd"/>
      <w:r w:rsidR="00CB4517" w:rsidRPr="008E5FB3">
        <w:rPr>
          <w:rFonts w:ascii="Times New Roman" w:hAnsi="Times New Roman"/>
          <w:color w:val="000000"/>
        </w:rPr>
        <w:t xml:space="preserve">) 2020/2053 z dnia 14 grudnia 2020 r. </w:t>
      </w:r>
      <w:r w:rsidR="00CB4517" w:rsidRPr="009B6D35">
        <w:rPr>
          <w:rFonts w:ascii="Times New Roman" w:hAnsi="Times New Roman"/>
          <w:i/>
          <w:color w:val="000000"/>
        </w:rPr>
        <w:t>w sprawie systemu zasobów własnych Unii Europejskiej oraz uchylającej decyzję 2014/335/UE</w:t>
      </w:r>
      <w:r w:rsidR="00CB4517" w:rsidRPr="008E5FB3">
        <w:rPr>
          <w:rFonts w:ascii="Times New Roman" w:hAnsi="Times New Roman"/>
          <w:color w:val="000000"/>
        </w:rPr>
        <w:t xml:space="preserve">, </w:t>
      </w:r>
      <w:proofErr w:type="spellStart"/>
      <w:r w:rsidR="00CB4517" w:rsidRPr="008E5FB3">
        <w:rPr>
          <w:rFonts w:ascii="Times New Roman" w:hAnsi="Times New Roman"/>
          <w:color w:val="000000"/>
        </w:rPr>
        <w:t>Euratom</w:t>
      </w:r>
      <w:proofErr w:type="spellEnd"/>
      <w:r w:rsidR="00CB4517" w:rsidRPr="008E5FB3">
        <w:rPr>
          <w:rFonts w:ascii="Times New Roman" w:hAnsi="Times New Roman"/>
          <w:color w:val="000000"/>
        </w:rPr>
        <w:t>, zgodnie z którą od 1 stycznia 2021 r. została wprowadzona nowa kategoria środka własnego UE oparta na masie odpadów opakowaniowych z tworzyw sztucznych niepoddanych recyklingowi (tzw. wpłata od plastiku). Obecnie ust</w:t>
      </w:r>
      <w:r w:rsidR="009B6D35">
        <w:rPr>
          <w:rFonts w:ascii="Times New Roman" w:hAnsi="Times New Roman"/>
          <w:color w:val="000000"/>
        </w:rPr>
        <w:t xml:space="preserve">. </w:t>
      </w:r>
      <w:r w:rsidR="00CB4517" w:rsidRPr="008E5FB3">
        <w:rPr>
          <w:rFonts w:ascii="Times New Roman" w:hAnsi="Times New Roman"/>
          <w:color w:val="000000"/>
        </w:rPr>
        <w:t>2 art. 125 ustawy o finansach publicznych nie uwzględnia wpłaty od plastiku wśród kategorii środków własnych Unii Europejskiej.</w:t>
      </w:r>
      <w:r w:rsidR="0066073A">
        <w:rPr>
          <w:rFonts w:ascii="Times New Roman" w:hAnsi="Times New Roman"/>
          <w:color w:val="000000"/>
        </w:rPr>
        <w:t xml:space="preserve"> Ponadto z</w:t>
      </w:r>
      <w:r w:rsidR="00CB4517" w:rsidRPr="008E5FB3">
        <w:rPr>
          <w:rFonts w:ascii="Times New Roman" w:hAnsi="Times New Roman"/>
          <w:color w:val="000000"/>
        </w:rPr>
        <w:t xml:space="preserve"> uwagi na fakt, iż w kolejnych latach mogą zostać wprowadzone nowe środki własne UE proponuje się wprowadzenie odwołania do obowiązujących przepisów Unii Europejskiej dotyczących źródeł finansowania jej budżetu ogólnego, zamiast wskazywania poszczególnych kategorii wpłat. Ujęcie ww. zmiany w ustawie jest niezbędne </w:t>
      </w:r>
      <w:r w:rsidR="007F4DC3">
        <w:rPr>
          <w:rFonts w:ascii="Times New Roman" w:hAnsi="Times New Roman"/>
          <w:color w:val="000000"/>
        </w:rPr>
        <w:t>dla zapewnienia zbieżności prawa krajowego z prawem UE</w:t>
      </w:r>
      <w:r w:rsidR="0066073A">
        <w:rPr>
          <w:rFonts w:ascii="Times New Roman" w:hAnsi="Times New Roman"/>
          <w:color w:val="000000"/>
        </w:rPr>
        <w:t>,</w:t>
      </w:r>
      <w:r w:rsidR="007F4DC3">
        <w:rPr>
          <w:rFonts w:ascii="Times New Roman" w:hAnsi="Times New Roman"/>
          <w:color w:val="000000"/>
        </w:rPr>
        <w:t xml:space="preserve"> </w:t>
      </w:r>
      <w:r w:rsidR="00CB4517" w:rsidRPr="008E5FB3">
        <w:rPr>
          <w:rFonts w:ascii="Times New Roman" w:hAnsi="Times New Roman"/>
          <w:color w:val="000000"/>
        </w:rPr>
        <w:t>w celu realizacji przez Polskę zobowiązań wobec Unii Europejskiej z</w:t>
      </w:r>
      <w:r w:rsidR="007F4DC3">
        <w:rPr>
          <w:rFonts w:ascii="Times New Roman" w:hAnsi="Times New Roman"/>
          <w:color w:val="000000"/>
        </w:rPr>
        <w:t> </w:t>
      </w:r>
      <w:r w:rsidR="00CB4517" w:rsidRPr="008E5FB3">
        <w:rPr>
          <w:rFonts w:ascii="Times New Roman" w:hAnsi="Times New Roman"/>
          <w:color w:val="000000"/>
        </w:rPr>
        <w:t>tytułu płatności składki członkowskiej do budżetu Unii.</w:t>
      </w:r>
    </w:p>
    <w:p w14:paraId="3B567309" w14:textId="361D6610" w:rsidR="0066073A" w:rsidRDefault="0066073A" w:rsidP="002F4680">
      <w:pPr>
        <w:spacing w:line="276" w:lineRule="auto"/>
        <w:jc w:val="both"/>
        <w:rPr>
          <w:rFonts w:ascii="Times New Roman" w:hAnsi="Times New Roman"/>
          <w:color w:val="000000"/>
        </w:rPr>
      </w:pPr>
      <w:r w:rsidRPr="008A6FDD">
        <w:rPr>
          <w:rFonts w:ascii="Times New Roman" w:hAnsi="Times New Roman"/>
          <w:color w:val="000000"/>
        </w:rPr>
        <w:lastRenderedPageBreak/>
        <w:t>Celem zmiany</w:t>
      </w:r>
      <w:r>
        <w:rPr>
          <w:rFonts w:ascii="Times New Roman" w:hAnsi="Times New Roman"/>
          <w:color w:val="000000"/>
        </w:rPr>
        <w:t xml:space="preserve"> w art. 125 ust. 3</w:t>
      </w:r>
      <w:r w:rsidRPr="008A6FDD">
        <w:rPr>
          <w:rFonts w:ascii="Times New Roman" w:hAnsi="Times New Roman"/>
          <w:color w:val="000000"/>
        </w:rPr>
        <w:t xml:space="preserve"> jest </w:t>
      </w:r>
      <w:r w:rsidR="003329CD">
        <w:rPr>
          <w:rFonts w:ascii="Times New Roman" w:hAnsi="Times New Roman"/>
          <w:color w:val="000000"/>
        </w:rPr>
        <w:t>zaś</w:t>
      </w:r>
      <w:r>
        <w:rPr>
          <w:rFonts w:ascii="Times New Roman" w:hAnsi="Times New Roman"/>
          <w:color w:val="000000"/>
        </w:rPr>
        <w:t xml:space="preserve"> </w:t>
      </w:r>
      <w:r w:rsidRPr="008A6FDD">
        <w:rPr>
          <w:rFonts w:ascii="Times New Roman" w:hAnsi="Times New Roman"/>
          <w:color w:val="000000"/>
        </w:rPr>
        <w:t>jedynie doprecyzowanie, że odsetki i kary za opóźnienia w płatnościach do budżetu UE nie stanowią odrębnego</w:t>
      </w:r>
      <w:r w:rsidR="003329CD">
        <w:rPr>
          <w:rFonts w:ascii="Times New Roman" w:hAnsi="Times New Roman"/>
          <w:color w:val="000000"/>
        </w:rPr>
        <w:t xml:space="preserve"> rodzaju zasobów własnych UE (o </w:t>
      </w:r>
      <w:r>
        <w:rPr>
          <w:rFonts w:ascii="Times New Roman" w:hAnsi="Times New Roman"/>
          <w:color w:val="000000"/>
        </w:rPr>
        <w:t>których mowa w art. 125 ust. 2) lecz</w:t>
      </w:r>
      <w:r w:rsidRPr="008A6FDD">
        <w:rPr>
          <w:rFonts w:ascii="Times New Roman" w:hAnsi="Times New Roman"/>
          <w:color w:val="000000"/>
        </w:rPr>
        <w:t xml:space="preserve"> reprezentują płatności dokonywane przez państwa członkowskie w ramach funkcjonowania systemu zasobów własnych. System ten obowiązuje na podstawie decyzji Rady w sprawie systemu zasobów własnych Unii Europejskiej zatwierdzonej przez państwa członkowskie zgodnie z ich wymogami konstytucyjnymi (na podstawie art. 311 akapit 3 Traktatu o funkcjonowaniu Unii Europejskiej </w:t>
      </w:r>
      <w:r w:rsidR="009B6D35">
        <w:rPr>
          <w:rFonts w:ascii="Times New Roman" w:hAnsi="Times New Roman"/>
          <w:color w:val="000000"/>
        </w:rPr>
        <w:t>–</w:t>
      </w:r>
      <w:r w:rsidRPr="008A6FDD">
        <w:rPr>
          <w:rFonts w:ascii="Times New Roman" w:hAnsi="Times New Roman"/>
          <w:color w:val="000000"/>
        </w:rPr>
        <w:t xml:space="preserve"> TFUE) oraz przepisów (wydanych na podstawie art. 322 ust. 2 TFUE), określających sposoby i procedurę, według których dochody budżetowe przewidziane w ramach systemu zasobów własnych Unii są pozostawione do dyspozycji Komisji Europejskiej. Z tego względu odsetki i kary za nieterminowe lub nieprawidłowo naliczone płatności z tytułu zasobów własnych są równie</w:t>
      </w:r>
      <w:r>
        <w:rPr>
          <w:rFonts w:ascii="Times New Roman" w:hAnsi="Times New Roman"/>
          <w:color w:val="000000"/>
        </w:rPr>
        <w:t>ż ujmowane w budżecie państwa w </w:t>
      </w:r>
      <w:r w:rsidRPr="008A6FDD">
        <w:rPr>
          <w:rFonts w:ascii="Times New Roman" w:hAnsi="Times New Roman"/>
          <w:color w:val="000000"/>
        </w:rPr>
        <w:t>ramach części bu</w:t>
      </w:r>
      <w:r w:rsidR="009B6D35">
        <w:rPr>
          <w:rFonts w:ascii="Times New Roman" w:hAnsi="Times New Roman"/>
          <w:color w:val="000000"/>
        </w:rPr>
        <w:t>dżetowej 84 – Zasoby własne UE.</w:t>
      </w:r>
    </w:p>
    <w:p w14:paraId="5B2305B4" w14:textId="77777777" w:rsidR="008B0980" w:rsidRDefault="008B0980" w:rsidP="00713591">
      <w:pPr>
        <w:spacing w:line="276" w:lineRule="auto"/>
        <w:jc w:val="both"/>
        <w:rPr>
          <w:rFonts w:ascii="Times New Roman" w:hAnsi="Times New Roman"/>
          <w:b/>
          <w:i/>
        </w:rPr>
      </w:pPr>
    </w:p>
    <w:p w14:paraId="6AFAD8F8" w14:textId="404017FB" w:rsidR="00CB4517" w:rsidRPr="008E5FB3" w:rsidRDefault="00CB4517" w:rsidP="00713591">
      <w:pPr>
        <w:spacing w:line="276" w:lineRule="auto"/>
        <w:jc w:val="both"/>
        <w:rPr>
          <w:rFonts w:ascii="Times New Roman" w:hAnsi="Times New Roman"/>
          <w:b/>
          <w:i/>
        </w:rPr>
      </w:pPr>
      <w:r w:rsidRPr="008E5FB3">
        <w:rPr>
          <w:rFonts w:ascii="Times New Roman" w:hAnsi="Times New Roman"/>
          <w:b/>
          <w:i/>
        </w:rPr>
        <w:t>dodanie art. 138a</w:t>
      </w:r>
    </w:p>
    <w:p w14:paraId="346280F4" w14:textId="77777777" w:rsidR="00CB4517" w:rsidRPr="008E5FB3" w:rsidRDefault="00CB4517" w:rsidP="00713591">
      <w:pPr>
        <w:spacing w:line="276" w:lineRule="auto"/>
        <w:jc w:val="both"/>
        <w:rPr>
          <w:rFonts w:ascii="Times New Roman" w:hAnsi="Times New Roman"/>
          <w:b/>
        </w:rPr>
      </w:pPr>
    </w:p>
    <w:p w14:paraId="41F9E8FB" w14:textId="77777777" w:rsidR="00CB4517" w:rsidRDefault="00CB4517" w:rsidP="00713591">
      <w:pPr>
        <w:spacing w:line="276" w:lineRule="auto"/>
        <w:jc w:val="both"/>
        <w:rPr>
          <w:rFonts w:ascii="Times New Roman" w:hAnsi="Times New Roman"/>
        </w:rPr>
      </w:pPr>
      <w:r w:rsidRPr="008E5FB3">
        <w:rPr>
          <w:rFonts w:ascii="Times New Roman" w:hAnsi="Times New Roman"/>
        </w:rPr>
        <w:t xml:space="preserve">Projektowana zmiana jest konsekwencją zmiany w art. 125. Zaproponowane brzmienie przepisu pozwala na planowanie wysokości środków własnych Unii Europejskiej w wysokości, która pozwoli na wypełnienie zobowiązań wynikających z umów międzynarodowych. Takie brzmienie spowoduje urealnienie wysokości środków, które powinny być zaplanowane w ustawie budżetowej na ten cel. </w:t>
      </w:r>
    </w:p>
    <w:p w14:paraId="51FFEEB2" w14:textId="77777777" w:rsidR="008B0980" w:rsidRDefault="008B0980" w:rsidP="00713591">
      <w:pPr>
        <w:spacing w:line="276" w:lineRule="auto"/>
        <w:jc w:val="both"/>
        <w:rPr>
          <w:rFonts w:ascii="Times New Roman" w:hAnsi="Times New Roman"/>
          <w:b/>
          <w:i/>
        </w:rPr>
      </w:pPr>
    </w:p>
    <w:p w14:paraId="606F30A2" w14:textId="64BEBED2" w:rsidR="00CB4517" w:rsidRPr="008E5FB3" w:rsidRDefault="00CB4517" w:rsidP="00713591">
      <w:pPr>
        <w:spacing w:line="276" w:lineRule="auto"/>
        <w:jc w:val="both"/>
        <w:rPr>
          <w:rFonts w:ascii="Times New Roman" w:hAnsi="Times New Roman"/>
          <w:b/>
          <w:i/>
        </w:rPr>
      </w:pPr>
      <w:r w:rsidRPr="008E5FB3">
        <w:rPr>
          <w:rFonts w:ascii="Times New Roman" w:hAnsi="Times New Roman"/>
          <w:b/>
          <w:i/>
        </w:rPr>
        <w:t>zmian</w:t>
      </w:r>
      <w:r w:rsidR="003D31A6">
        <w:rPr>
          <w:rFonts w:ascii="Times New Roman" w:hAnsi="Times New Roman"/>
          <w:b/>
          <w:i/>
        </w:rPr>
        <w:t>a</w:t>
      </w:r>
      <w:r w:rsidRPr="008E5FB3">
        <w:rPr>
          <w:rFonts w:ascii="Times New Roman" w:hAnsi="Times New Roman"/>
          <w:b/>
          <w:i/>
        </w:rPr>
        <w:t xml:space="preserve"> w art. 140</w:t>
      </w:r>
      <w:r w:rsidR="003D31A6">
        <w:rPr>
          <w:rFonts w:ascii="Times New Roman" w:hAnsi="Times New Roman"/>
          <w:b/>
          <w:i/>
        </w:rPr>
        <w:t xml:space="preserve"> ust. 2 pkt</w:t>
      </w:r>
      <w:r w:rsidR="008C074B">
        <w:rPr>
          <w:rFonts w:ascii="Times New Roman" w:hAnsi="Times New Roman"/>
          <w:b/>
          <w:i/>
        </w:rPr>
        <w:t xml:space="preserve"> 1 i</w:t>
      </w:r>
      <w:r w:rsidR="003D31A6">
        <w:rPr>
          <w:rFonts w:ascii="Times New Roman" w:hAnsi="Times New Roman"/>
          <w:b/>
          <w:i/>
        </w:rPr>
        <w:t xml:space="preserve"> 3, ust. </w:t>
      </w:r>
      <w:r w:rsidR="003B5582">
        <w:rPr>
          <w:rFonts w:ascii="Times New Roman" w:hAnsi="Times New Roman"/>
          <w:b/>
          <w:i/>
        </w:rPr>
        <w:t>3 i 4 oraz</w:t>
      </w:r>
      <w:r w:rsidR="003D31A6">
        <w:rPr>
          <w:rFonts w:ascii="Times New Roman" w:hAnsi="Times New Roman"/>
          <w:b/>
          <w:i/>
        </w:rPr>
        <w:t xml:space="preserve"> dodanie ust. 5</w:t>
      </w:r>
      <w:r w:rsidR="00B01567">
        <w:rPr>
          <w:rFonts w:ascii="Times New Roman" w:hAnsi="Times New Roman"/>
          <w:b/>
          <w:i/>
        </w:rPr>
        <w:t xml:space="preserve"> i 6</w:t>
      </w:r>
    </w:p>
    <w:p w14:paraId="24A9A3F3" w14:textId="77777777" w:rsidR="00CB4517" w:rsidRPr="008E5FB3" w:rsidRDefault="00CB4517" w:rsidP="00713591">
      <w:pPr>
        <w:spacing w:line="276" w:lineRule="auto"/>
        <w:jc w:val="both"/>
        <w:rPr>
          <w:rFonts w:ascii="Times New Roman" w:hAnsi="Times New Roman"/>
        </w:rPr>
      </w:pPr>
    </w:p>
    <w:p w14:paraId="59EB5600" w14:textId="530EFD19" w:rsidR="00C90852" w:rsidRPr="00C90852" w:rsidRDefault="00C90852" w:rsidP="00C90852">
      <w:pPr>
        <w:spacing w:line="276" w:lineRule="auto"/>
        <w:jc w:val="both"/>
        <w:rPr>
          <w:rFonts w:ascii="Times New Roman" w:hAnsi="Times New Roman"/>
        </w:rPr>
      </w:pPr>
      <w:r w:rsidRPr="00C90852">
        <w:rPr>
          <w:rFonts w:ascii="Times New Roman" w:hAnsi="Times New Roman"/>
        </w:rPr>
        <w:t xml:space="preserve">Zaproponowana w art. 140 ust. 2 pkt 1 </w:t>
      </w:r>
      <w:r w:rsidR="00C43AAC" w:rsidRPr="00C90852">
        <w:rPr>
          <w:rFonts w:ascii="Times New Roman" w:hAnsi="Times New Roman"/>
        </w:rPr>
        <w:t xml:space="preserve">zmiana </w:t>
      </w:r>
      <w:r w:rsidRPr="00C90852">
        <w:rPr>
          <w:rFonts w:ascii="Times New Roman" w:hAnsi="Times New Roman"/>
        </w:rPr>
        <w:t>doprecyzowuje obecne brzmienie tego przepisu. Planowanie poszczególnych zadań do sfinansowania</w:t>
      </w:r>
      <w:r w:rsidR="008B0980">
        <w:rPr>
          <w:rFonts w:ascii="Times New Roman" w:hAnsi="Times New Roman"/>
        </w:rPr>
        <w:t>, zwłaszcza tych nowych albo istotnie zmienionych związane jest</w:t>
      </w:r>
      <w:r w:rsidRPr="00C90852">
        <w:rPr>
          <w:rFonts w:ascii="Times New Roman" w:hAnsi="Times New Roman"/>
        </w:rPr>
        <w:t xml:space="preserve"> m.in. z oszacowaniem przez podmioty zgłaszające poszczególne zadania do sfinansowania, </w:t>
      </w:r>
      <w:r w:rsidR="00FA48E2">
        <w:rPr>
          <w:rFonts w:ascii="Times New Roman" w:hAnsi="Times New Roman"/>
        </w:rPr>
        <w:t>wydatków na</w:t>
      </w:r>
      <w:r w:rsidR="00FA48E2" w:rsidRPr="00C90852">
        <w:rPr>
          <w:rFonts w:ascii="Times New Roman" w:hAnsi="Times New Roman"/>
        </w:rPr>
        <w:t xml:space="preserve"> </w:t>
      </w:r>
      <w:r w:rsidRPr="00C90852">
        <w:rPr>
          <w:rFonts w:ascii="Times New Roman" w:hAnsi="Times New Roman"/>
        </w:rPr>
        <w:t>ich realizacj</w:t>
      </w:r>
      <w:r w:rsidR="00FA48E2">
        <w:rPr>
          <w:rFonts w:ascii="Times New Roman" w:hAnsi="Times New Roman"/>
        </w:rPr>
        <w:t>ę</w:t>
      </w:r>
      <w:r w:rsidRPr="00C90852">
        <w:rPr>
          <w:rFonts w:ascii="Times New Roman" w:hAnsi="Times New Roman"/>
        </w:rPr>
        <w:t xml:space="preserve">. Nie zawsze możliwe jest </w:t>
      </w:r>
      <w:r w:rsidR="00C43AAC" w:rsidRPr="00C90852">
        <w:rPr>
          <w:rFonts w:ascii="Times New Roman" w:hAnsi="Times New Roman"/>
        </w:rPr>
        <w:t xml:space="preserve">jednak </w:t>
      </w:r>
      <w:r w:rsidR="000F3A0D">
        <w:rPr>
          <w:rFonts w:ascii="Times New Roman" w:hAnsi="Times New Roman"/>
        </w:rPr>
        <w:t>finalne i </w:t>
      </w:r>
      <w:r w:rsidRPr="00C90852">
        <w:rPr>
          <w:rFonts w:ascii="Times New Roman" w:hAnsi="Times New Roman"/>
        </w:rPr>
        <w:t>precyzyjne określenie wysokości takich</w:t>
      </w:r>
      <w:r w:rsidR="00C51AB0">
        <w:rPr>
          <w:rFonts w:ascii="Times New Roman" w:hAnsi="Times New Roman"/>
        </w:rPr>
        <w:t xml:space="preserve"> </w:t>
      </w:r>
      <w:r w:rsidR="00FA48E2">
        <w:rPr>
          <w:rFonts w:ascii="Times New Roman" w:hAnsi="Times New Roman"/>
        </w:rPr>
        <w:t>wydatków</w:t>
      </w:r>
      <w:r w:rsidRPr="00C90852">
        <w:rPr>
          <w:rFonts w:ascii="Times New Roman" w:hAnsi="Times New Roman"/>
        </w:rPr>
        <w:t>. Ponadto w trakcie roku budżetowego mogą pojawić się nowe zadania do zrealizowa</w:t>
      </w:r>
      <w:r w:rsidR="00C43AAC">
        <w:rPr>
          <w:rFonts w:ascii="Times New Roman" w:hAnsi="Times New Roman"/>
        </w:rPr>
        <w:t>nia, których zaistnienia, jak i </w:t>
      </w:r>
      <w:r w:rsidRPr="00C90852">
        <w:rPr>
          <w:rFonts w:ascii="Times New Roman" w:hAnsi="Times New Roman"/>
        </w:rPr>
        <w:t xml:space="preserve">wysokości potrzebnych do ich realizacji środków nie można było określić (przewidzieć) na etapie planowania budżetowego. Projektowana </w:t>
      </w:r>
      <w:r w:rsidR="00C43AAC">
        <w:rPr>
          <w:rFonts w:ascii="Times New Roman" w:hAnsi="Times New Roman"/>
        </w:rPr>
        <w:t>zmiana wychodzi naprzeciw tego rodzaju</w:t>
      </w:r>
      <w:r w:rsidRPr="00C90852">
        <w:rPr>
          <w:rFonts w:ascii="Times New Roman" w:hAnsi="Times New Roman"/>
        </w:rPr>
        <w:t xml:space="preserve"> sytuacjom, wprost stanowiąc o możliwości ujmowania środków w rezerwach celowych, kiedy wysokość wydatków nie może zostać określona na etapie opracowywan</w:t>
      </w:r>
      <w:r w:rsidR="00C43AAC">
        <w:rPr>
          <w:rFonts w:ascii="Times New Roman" w:hAnsi="Times New Roman"/>
        </w:rPr>
        <w:t xml:space="preserve">ia projektu ustawy budżetowej. </w:t>
      </w:r>
    </w:p>
    <w:p w14:paraId="5E23082B" w14:textId="77777777" w:rsidR="00C90852" w:rsidRDefault="00C90852" w:rsidP="00C90852">
      <w:pPr>
        <w:spacing w:line="276" w:lineRule="auto"/>
        <w:jc w:val="both"/>
        <w:rPr>
          <w:rFonts w:ascii="Times New Roman" w:hAnsi="Times New Roman"/>
        </w:rPr>
      </w:pPr>
    </w:p>
    <w:p w14:paraId="1B0366BD" w14:textId="77777777" w:rsidR="00CB4517" w:rsidRDefault="00CB4517" w:rsidP="00C90852">
      <w:pPr>
        <w:spacing w:line="276" w:lineRule="auto"/>
        <w:jc w:val="both"/>
        <w:rPr>
          <w:rFonts w:ascii="Times New Roman" w:hAnsi="Times New Roman"/>
        </w:rPr>
      </w:pPr>
      <w:r w:rsidRPr="008E5FB3">
        <w:rPr>
          <w:rFonts w:ascii="Times New Roman" w:hAnsi="Times New Roman"/>
        </w:rPr>
        <w:t xml:space="preserve">Zmiana w art. 140 ust. 2 pkt 3 jest konsekwencją wprowadzenia zmiany w art. 111 pkt 16 polegającej na jednoznacznym wskazaniu, iż środki, o których mowa w art. 5 ust. 1 pkt 3 ustawy są dochodami budżetu państwa. W celu umożliwienia dysponentom części budżetowych sprawnej realizacji programów finansowanych z udziałem tych środków wprowadza się również możliwość utworzenia rezerwy celowej na wydatki związane z ich realizacją.  </w:t>
      </w:r>
    </w:p>
    <w:p w14:paraId="7EAC056C" w14:textId="77777777" w:rsidR="00C90852" w:rsidRPr="008E5FB3" w:rsidRDefault="00C90852" w:rsidP="00C90852">
      <w:pPr>
        <w:spacing w:line="276" w:lineRule="auto"/>
        <w:jc w:val="both"/>
        <w:rPr>
          <w:rFonts w:ascii="Times New Roman" w:hAnsi="Times New Roman"/>
        </w:rPr>
      </w:pPr>
    </w:p>
    <w:p w14:paraId="6406DB2B" w14:textId="02D0117A" w:rsidR="00CB4517" w:rsidRPr="008E5FB3" w:rsidRDefault="0050134B" w:rsidP="00C90852">
      <w:pPr>
        <w:spacing w:line="276" w:lineRule="auto"/>
        <w:jc w:val="both"/>
        <w:rPr>
          <w:rFonts w:ascii="Times New Roman" w:hAnsi="Times New Roman"/>
        </w:rPr>
      </w:pPr>
      <w:r>
        <w:rPr>
          <w:rFonts w:ascii="Times New Roman" w:hAnsi="Times New Roman"/>
        </w:rPr>
        <w:t xml:space="preserve">W art. 140 ust. 3 zwiększono sumę rezerw celowych, o których mowa w ust. 2 pkt 1 i 4 z 5% </w:t>
      </w:r>
      <w:r w:rsidR="00395FF2">
        <w:rPr>
          <w:rFonts w:ascii="Times New Roman" w:hAnsi="Times New Roman"/>
        </w:rPr>
        <w:t>do</w:t>
      </w:r>
      <w:r>
        <w:rPr>
          <w:rFonts w:ascii="Times New Roman" w:hAnsi="Times New Roman"/>
        </w:rPr>
        <w:t xml:space="preserve"> 8% wydatków budżetu</w:t>
      </w:r>
      <w:r w:rsidR="00395FF2">
        <w:rPr>
          <w:rFonts w:ascii="Times New Roman" w:hAnsi="Times New Roman"/>
        </w:rPr>
        <w:t xml:space="preserve"> państwa</w:t>
      </w:r>
      <w:r>
        <w:rPr>
          <w:rFonts w:ascii="Times New Roman" w:hAnsi="Times New Roman"/>
        </w:rPr>
        <w:t xml:space="preserve">. </w:t>
      </w:r>
      <w:r w:rsidRPr="0050134B">
        <w:rPr>
          <w:rFonts w:ascii="Times New Roman" w:hAnsi="Times New Roman"/>
        </w:rPr>
        <w:t xml:space="preserve">Podniesienie maksymalnego progu, którego nie może przekroczyć suma rezerw umożliwi w większym stopniu realizację tych zadań, które na etapie planowania nie mogą zostać jednoznacznie przypisane do określonych jednostek sektora </w:t>
      </w:r>
      <w:r w:rsidRPr="0050134B">
        <w:rPr>
          <w:rFonts w:ascii="Times New Roman" w:hAnsi="Times New Roman"/>
        </w:rPr>
        <w:lastRenderedPageBreak/>
        <w:t xml:space="preserve">finansów publicznych realizujących bądź współrealizujących przedmiotowe zadania. </w:t>
      </w:r>
      <w:r w:rsidR="00B42069">
        <w:rPr>
          <w:rFonts w:ascii="Times New Roman" w:hAnsi="Times New Roman"/>
        </w:rPr>
        <w:t>Proponowane</w:t>
      </w:r>
      <w:r w:rsidR="00B42069" w:rsidRPr="0050134B">
        <w:rPr>
          <w:rFonts w:ascii="Times New Roman" w:hAnsi="Times New Roman"/>
        </w:rPr>
        <w:t xml:space="preserve"> </w:t>
      </w:r>
      <w:r w:rsidRPr="0050134B">
        <w:rPr>
          <w:rFonts w:ascii="Times New Roman" w:hAnsi="Times New Roman"/>
        </w:rPr>
        <w:t>rozwiązanie pozwoli elastyczniej zaplanować środki budżetowe na dany rok budżetowy oraz dokonać ich podziału w sposób efektywny na etapie realizacji ustawy budżetowej</w:t>
      </w:r>
      <w:r w:rsidR="007E3086">
        <w:rPr>
          <w:rFonts w:ascii="Times New Roman" w:hAnsi="Times New Roman"/>
        </w:rPr>
        <w:t>, nie oznacza to jednak każdorazowo</w:t>
      </w:r>
      <w:r w:rsidR="005F5B82">
        <w:rPr>
          <w:rFonts w:ascii="Times New Roman" w:hAnsi="Times New Roman"/>
        </w:rPr>
        <w:t xml:space="preserve"> planowania rezerw celowych, których mowa w ust. 2 pkt 1 i 4 w</w:t>
      </w:r>
      <w:r w:rsidR="00C43AAC">
        <w:rPr>
          <w:rFonts w:ascii="Times New Roman" w:hAnsi="Times New Roman"/>
        </w:rPr>
        <w:t> </w:t>
      </w:r>
      <w:r w:rsidR="00AD3603">
        <w:rPr>
          <w:rFonts w:ascii="Times New Roman" w:hAnsi="Times New Roman"/>
        </w:rPr>
        <w:t>przewidzianej w tym przepisie maksymalnej</w:t>
      </w:r>
      <w:r w:rsidR="005F5B82">
        <w:rPr>
          <w:rFonts w:ascii="Times New Roman" w:hAnsi="Times New Roman"/>
        </w:rPr>
        <w:t xml:space="preserve"> wysokości 8% wydatków budżetu</w:t>
      </w:r>
      <w:r w:rsidRPr="0050134B">
        <w:rPr>
          <w:rFonts w:ascii="Times New Roman" w:hAnsi="Times New Roman"/>
        </w:rPr>
        <w:t xml:space="preserve">. </w:t>
      </w:r>
      <w:r w:rsidR="00AD3603" w:rsidRPr="00AD3603">
        <w:rPr>
          <w:rFonts w:ascii="Times New Roman" w:hAnsi="Times New Roman"/>
        </w:rPr>
        <w:t>Należy</w:t>
      </w:r>
      <w:r w:rsidR="00AD3603">
        <w:rPr>
          <w:rFonts w:ascii="Times New Roman" w:hAnsi="Times New Roman"/>
        </w:rPr>
        <w:t xml:space="preserve"> </w:t>
      </w:r>
      <w:r w:rsidR="00C43AAC">
        <w:rPr>
          <w:rFonts w:ascii="Times New Roman" w:hAnsi="Times New Roman"/>
        </w:rPr>
        <w:t>wskazać</w:t>
      </w:r>
      <w:r w:rsidR="00AD3603">
        <w:rPr>
          <w:rFonts w:ascii="Times New Roman" w:hAnsi="Times New Roman"/>
        </w:rPr>
        <w:t>, że w ustawie z dnia 19 listopada 2020 r.</w:t>
      </w:r>
      <w:r w:rsidR="000A4E23">
        <w:rPr>
          <w:rFonts w:ascii="Times New Roman" w:hAnsi="Times New Roman"/>
        </w:rPr>
        <w:t xml:space="preserve"> </w:t>
      </w:r>
      <w:r w:rsidR="000A4E23" w:rsidRPr="009B6D35">
        <w:rPr>
          <w:rFonts w:ascii="Times New Roman" w:hAnsi="Times New Roman"/>
          <w:i/>
        </w:rPr>
        <w:t>o szczególnych rozwiązaniach służących realizacji ustawy budżetowej</w:t>
      </w:r>
      <w:r w:rsidR="00AD3603" w:rsidRPr="009B6D35">
        <w:rPr>
          <w:rFonts w:ascii="Times New Roman" w:hAnsi="Times New Roman"/>
          <w:i/>
        </w:rPr>
        <w:t xml:space="preserve"> </w:t>
      </w:r>
      <w:r w:rsidR="000A4E23" w:rsidRPr="009B6D35">
        <w:rPr>
          <w:rFonts w:ascii="Times New Roman" w:hAnsi="Times New Roman"/>
          <w:i/>
        </w:rPr>
        <w:t>na rok 2021</w:t>
      </w:r>
      <w:r w:rsidR="000A4E23">
        <w:rPr>
          <w:rFonts w:ascii="Times New Roman" w:hAnsi="Times New Roman"/>
        </w:rPr>
        <w:t xml:space="preserve"> </w:t>
      </w:r>
      <w:r w:rsidR="009B6D35">
        <w:rPr>
          <w:rFonts w:ascii="Times New Roman" w:hAnsi="Times New Roman"/>
        </w:rPr>
        <w:t xml:space="preserve">(Dz. U. poz. 2400, z </w:t>
      </w:r>
      <w:proofErr w:type="spellStart"/>
      <w:r w:rsidR="009B6D35">
        <w:rPr>
          <w:rFonts w:ascii="Times New Roman" w:hAnsi="Times New Roman"/>
        </w:rPr>
        <w:t>późn</w:t>
      </w:r>
      <w:proofErr w:type="spellEnd"/>
      <w:r w:rsidR="009B6D35">
        <w:rPr>
          <w:rFonts w:ascii="Times New Roman" w:hAnsi="Times New Roman"/>
        </w:rPr>
        <w:t xml:space="preserve">. zm.) </w:t>
      </w:r>
      <w:r w:rsidR="000A4E23">
        <w:rPr>
          <w:rFonts w:ascii="Times New Roman" w:hAnsi="Times New Roman"/>
        </w:rPr>
        <w:t>przewidziano przepis art. 49,</w:t>
      </w:r>
      <w:r w:rsidR="00C43AAC">
        <w:rPr>
          <w:rFonts w:ascii="Times New Roman" w:hAnsi="Times New Roman"/>
        </w:rPr>
        <w:t xml:space="preserve"> a</w:t>
      </w:r>
      <w:r w:rsidR="000A4E23">
        <w:rPr>
          <w:rFonts w:ascii="Times New Roman" w:hAnsi="Times New Roman"/>
        </w:rPr>
        <w:t xml:space="preserve"> w </w:t>
      </w:r>
      <w:r w:rsidR="000A4E23" w:rsidRPr="009B6D35">
        <w:rPr>
          <w:rFonts w:ascii="Times New Roman" w:hAnsi="Times New Roman"/>
          <w:i/>
        </w:rPr>
        <w:t>ustawie z</w:t>
      </w:r>
      <w:r w:rsidR="00C43AAC" w:rsidRPr="009B6D35">
        <w:rPr>
          <w:rFonts w:ascii="Times New Roman" w:hAnsi="Times New Roman"/>
          <w:i/>
        </w:rPr>
        <w:t> </w:t>
      </w:r>
      <w:r w:rsidR="000A4E23" w:rsidRPr="009B6D35">
        <w:rPr>
          <w:rFonts w:ascii="Times New Roman" w:hAnsi="Times New Roman"/>
          <w:i/>
        </w:rPr>
        <w:t>dnia 17 grudnia 2021 r. o szczególnych rozwiązaniach służących realizacji ustawy budżetowej na rok 2022</w:t>
      </w:r>
      <w:r w:rsidR="000A4E23">
        <w:rPr>
          <w:rFonts w:ascii="Times New Roman" w:hAnsi="Times New Roman"/>
        </w:rPr>
        <w:t xml:space="preserve"> </w:t>
      </w:r>
      <w:r w:rsidR="009B6D35">
        <w:rPr>
          <w:rFonts w:ascii="Times New Roman" w:hAnsi="Times New Roman"/>
        </w:rPr>
        <w:t xml:space="preserve">(Dz. U. poz. 2445) </w:t>
      </w:r>
      <w:r w:rsidR="000A4E23">
        <w:rPr>
          <w:rFonts w:ascii="Times New Roman" w:hAnsi="Times New Roman"/>
        </w:rPr>
        <w:t>przepis art. 14, wyłączające</w:t>
      </w:r>
      <w:r w:rsidR="00AD3603">
        <w:rPr>
          <w:rFonts w:ascii="Times New Roman" w:hAnsi="Times New Roman"/>
        </w:rPr>
        <w:t xml:space="preserve"> zastosowanie art.</w:t>
      </w:r>
      <w:r w:rsidR="000A4E23">
        <w:rPr>
          <w:rFonts w:ascii="Times New Roman" w:hAnsi="Times New Roman"/>
        </w:rPr>
        <w:t xml:space="preserve"> 140 ust. 3 </w:t>
      </w:r>
      <w:r w:rsidR="00713591">
        <w:rPr>
          <w:rFonts w:ascii="Times New Roman" w:hAnsi="Times New Roman"/>
        </w:rPr>
        <w:t>ustawy o finansach publicznych</w:t>
      </w:r>
      <w:r w:rsidR="00395FF2">
        <w:rPr>
          <w:rFonts w:ascii="Times New Roman" w:hAnsi="Times New Roman"/>
        </w:rPr>
        <w:t xml:space="preserve"> do opracowywania projektów ustaw budżetowych na te lata</w:t>
      </w:r>
      <w:r w:rsidR="000A4E23">
        <w:rPr>
          <w:rFonts w:ascii="Times New Roman" w:hAnsi="Times New Roman"/>
        </w:rPr>
        <w:t xml:space="preserve">. </w:t>
      </w:r>
      <w:r w:rsidR="005E7A6B">
        <w:rPr>
          <w:rFonts w:ascii="Times New Roman" w:hAnsi="Times New Roman"/>
        </w:rPr>
        <w:t xml:space="preserve">Powyższe regulacje, jak i projektowane zmiany w przepisach systemowych podyktowane są </w:t>
      </w:r>
      <w:r w:rsidR="005E7A6B" w:rsidRPr="0050134B">
        <w:rPr>
          <w:rFonts w:ascii="Times New Roman" w:hAnsi="Times New Roman"/>
        </w:rPr>
        <w:t>trwałą, utrzymującą się na zdecydowanie wyższym niż miało to miejsce przed wybuchem pandemii COVID-19 poziomie niepewnoś</w:t>
      </w:r>
      <w:r w:rsidR="005E7A6B">
        <w:rPr>
          <w:rFonts w:ascii="Times New Roman" w:hAnsi="Times New Roman"/>
        </w:rPr>
        <w:t>ć</w:t>
      </w:r>
      <w:r w:rsidR="005E7A6B" w:rsidRPr="0050134B">
        <w:rPr>
          <w:rFonts w:ascii="Times New Roman" w:hAnsi="Times New Roman"/>
        </w:rPr>
        <w:t xml:space="preserve"> odnośnie do </w:t>
      </w:r>
      <w:r w:rsidR="005E7A6B">
        <w:rPr>
          <w:rFonts w:ascii="Times New Roman" w:hAnsi="Times New Roman"/>
        </w:rPr>
        <w:t>planowania i wykonania ustawy budżetowej. Zaproponowana zmiana procentowanego udziału wydatków ujętych w rezerw</w:t>
      </w:r>
      <w:r w:rsidR="00395FF2">
        <w:rPr>
          <w:rFonts w:ascii="Times New Roman" w:hAnsi="Times New Roman"/>
        </w:rPr>
        <w:t>ach</w:t>
      </w:r>
      <w:r w:rsidR="005E7A6B">
        <w:rPr>
          <w:rFonts w:ascii="Times New Roman" w:hAnsi="Times New Roman"/>
        </w:rPr>
        <w:t xml:space="preserve"> celowych została określona na podstawie doświadczeń związanych z pojawieniem się oraz następstwami spowodowanymi pandemią COVID-19. </w:t>
      </w:r>
      <w:r w:rsidR="00C43AAC">
        <w:rPr>
          <w:rFonts w:ascii="Times New Roman" w:hAnsi="Times New Roman"/>
        </w:rPr>
        <w:t>M</w:t>
      </w:r>
      <w:r w:rsidR="008C074B">
        <w:rPr>
          <w:rFonts w:ascii="Times New Roman" w:hAnsi="Times New Roman"/>
        </w:rPr>
        <w:t xml:space="preserve">odyfikacja brzmienia art. 140 ust. 3 nabiera </w:t>
      </w:r>
      <w:r w:rsidR="00C43AAC">
        <w:rPr>
          <w:rFonts w:ascii="Times New Roman" w:hAnsi="Times New Roman"/>
        </w:rPr>
        <w:t xml:space="preserve">tym samym </w:t>
      </w:r>
      <w:r w:rsidR="008C074B">
        <w:rPr>
          <w:rFonts w:ascii="Times New Roman" w:hAnsi="Times New Roman"/>
        </w:rPr>
        <w:t>istotnego znaczenia</w:t>
      </w:r>
      <w:r w:rsidRPr="0050134B">
        <w:rPr>
          <w:rFonts w:ascii="Times New Roman" w:hAnsi="Times New Roman"/>
        </w:rPr>
        <w:t>.</w:t>
      </w:r>
      <w:r w:rsidR="00C43AAC">
        <w:rPr>
          <w:rFonts w:ascii="Times New Roman" w:hAnsi="Times New Roman"/>
        </w:rPr>
        <w:t xml:space="preserve"> </w:t>
      </w:r>
      <w:r w:rsidRPr="0050134B">
        <w:rPr>
          <w:rFonts w:ascii="Times New Roman" w:hAnsi="Times New Roman"/>
        </w:rPr>
        <w:t xml:space="preserve">Implementacja </w:t>
      </w:r>
      <w:r w:rsidR="00C43AAC">
        <w:rPr>
          <w:rFonts w:ascii="Times New Roman" w:hAnsi="Times New Roman"/>
        </w:rPr>
        <w:t xml:space="preserve">tego </w:t>
      </w:r>
      <w:r w:rsidRPr="0050134B">
        <w:rPr>
          <w:rFonts w:ascii="Times New Roman" w:hAnsi="Times New Roman"/>
        </w:rPr>
        <w:t xml:space="preserve">rozwiązania zapewni możliwość szybkiego działania w trakcie corocznego wykonywania ustawy budżetowej. </w:t>
      </w:r>
    </w:p>
    <w:p w14:paraId="67A0DF6F" w14:textId="77777777" w:rsidR="006A5137" w:rsidRDefault="006A5137" w:rsidP="00B01567">
      <w:pPr>
        <w:spacing w:line="276" w:lineRule="auto"/>
        <w:jc w:val="both"/>
        <w:rPr>
          <w:rFonts w:ascii="Times New Roman" w:hAnsi="Times New Roman"/>
        </w:rPr>
      </w:pPr>
    </w:p>
    <w:p w14:paraId="121B69BD" w14:textId="3CF002A0" w:rsidR="006A5137" w:rsidRDefault="00B01567" w:rsidP="00B01567">
      <w:pPr>
        <w:spacing w:line="276" w:lineRule="auto"/>
        <w:jc w:val="both"/>
        <w:rPr>
          <w:rFonts w:ascii="Times New Roman" w:hAnsi="Times New Roman"/>
        </w:rPr>
      </w:pPr>
      <w:r w:rsidRPr="00C51AB0">
        <w:rPr>
          <w:rFonts w:ascii="Times New Roman" w:hAnsi="Times New Roman"/>
        </w:rPr>
        <w:t>W art. 140 ust. 4 zwiększono maksymalną wysokość rezerwy celowej tworzonej w budżetach wojewodów z 1% do 2% wychodząc naprzeciw wnioskom dysponentów i doprecyzowano sposób ustalania wysokości tej rezerwy. Zwiększenie wysoko</w:t>
      </w:r>
      <w:r w:rsidRPr="00B01567">
        <w:rPr>
          <w:rFonts w:ascii="Times New Roman" w:hAnsi="Times New Roman"/>
        </w:rPr>
        <w:t>ści rezerwy pozostającej w </w:t>
      </w:r>
      <w:r w:rsidRPr="00C51AB0">
        <w:rPr>
          <w:rFonts w:ascii="Times New Roman" w:hAnsi="Times New Roman"/>
        </w:rPr>
        <w:t>dyspozycji wojewodów wynika głównie z zakresu realizowanych zadań i specyfiki tych budżetów, w ramach których, finansowane są liczne zadania w odrębnych działach klasyfikacji bu</w:t>
      </w:r>
      <w:r w:rsidRPr="00B01567">
        <w:rPr>
          <w:rFonts w:ascii="Times New Roman" w:hAnsi="Times New Roman"/>
        </w:rPr>
        <w:t>dżetowej. Zwiększona maksymalna</w:t>
      </w:r>
      <w:r>
        <w:rPr>
          <w:rFonts w:ascii="Times New Roman" w:hAnsi="Times New Roman"/>
        </w:rPr>
        <w:t xml:space="preserve"> </w:t>
      </w:r>
      <w:r w:rsidRPr="00C51AB0">
        <w:rPr>
          <w:rFonts w:ascii="Times New Roman" w:hAnsi="Times New Roman"/>
        </w:rPr>
        <w:t xml:space="preserve">wysokość rezerwy stworzy fakultatywnie </w:t>
      </w:r>
      <w:r w:rsidR="009B6D35">
        <w:rPr>
          <w:rFonts w:ascii="Times New Roman" w:hAnsi="Times New Roman"/>
        </w:rPr>
        <w:t>–</w:t>
      </w:r>
      <w:r w:rsidRPr="00C51AB0">
        <w:rPr>
          <w:rFonts w:ascii="Times New Roman" w:hAnsi="Times New Roman"/>
        </w:rPr>
        <w:t xml:space="preserve"> możliwość zabezpieczenia środków na nieprzewidziane na etapie konstruowania budżetu potrzeby finansowe i odpowiednio sfinansowanie dzięki elastycznoś</w:t>
      </w:r>
      <w:r w:rsidRPr="00B01567">
        <w:rPr>
          <w:rFonts w:ascii="Times New Roman" w:hAnsi="Times New Roman"/>
        </w:rPr>
        <w:t>ci dysponowania tymi środkami w </w:t>
      </w:r>
      <w:r w:rsidRPr="00C51AB0">
        <w:rPr>
          <w:rFonts w:ascii="Times New Roman" w:hAnsi="Times New Roman"/>
        </w:rPr>
        <w:t xml:space="preserve">trakcie realizacji budżetu. </w:t>
      </w:r>
    </w:p>
    <w:p w14:paraId="5B690991" w14:textId="77777777" w:rsidR="006A5137" w:rsidRDefault="006A5137" w:rsidP="00B01567">
      <w:pPr>
        <w:spacing w:line="276" w:lineRule="auto"/>
        <w:jc w:val="both"/>
        <w:rPr>
          <w:rFonts w:ascii="Times New Roman" w:hAnsi="Times New Roman"/>
        </w:rPr>
      </w:pPr>
    </w:p>
    <w:p w14:paraId="7612DC1B" w14:textId="5EA18DD0" w:rsidR="00CB4517" w:rsidRPr="00C51AB0" w:rsidRDefault="00B01567" w:rsidP="00B01567">
      <w:pPr>
        <w:spacing w:line="276" w:lineRule="auto"/>
        <w:jc w:val="both"/>
        <w:rPr>
          <w:rFonts w:ascii="Times New Roman" w:hAnsi="Times New Roman"/>
        </w:rPr>
      </w:pPr>
      <w:r w:rsidRPr="00C51AB0">
        <w:rPr>
          <w:rFonts w:ascii="Times New Roman" w:hAnsi="Times New Roman"/>
        </w:rPr>
        <w:t>Ponadto, w ust. 5 i ust. 6 w sposób jednoznaczny wskazano na możliwość zabezpieczenia przez wojewodów (w ramach ogólnej kwoty wynagrodzeń ustalanej w ustawie budżetowej zgodnie z art. 9 ustawy z dnia 23 grudnia 1999 r. o kształtowaniu wynagrodzeń w państwowej sferze budżetowej oraz o zmianie niektórych ustaw (Dz. U. z 2020 r. poz. 1658</w:t>
      </w:r>
      <w:r w:rsidR="009B6D35">
        <w:rPr>
          <w:rFonts w:ascii="Times New Roman" w:hAnsi="Times New Roman"/>
        </w:rPr>
        <w:t xml:space="preserve">, z </w:t>
      </w:r>
      <w:proofErr w:type="spellStart"/>
      <w:r w:rsidR="009B6D35">
        <w:rPr>
          <w:rFonts w:ascii="Times New Roman" w:hAnsi="Times New Roman"/>
        </w:rPr>
        <w:t>późn</w:t>
      </w:r>
      <w:proofErr w:type="spellEnd"/>
      <w:r w:rsidR="009B6D35">
        <w:rPr>
          <w:rFonts w:ascii="Times New Roman" w:hAnsi="Times New Roman"/>
        </w:rPr>
        <w:t>. zm.</w:t>
      </w:r>
      <w:r w:rsidRPr="00C51AB0">
        <w:rPr>
          <w:rFonts w:ascii="Times New Roman" w:hAnsi="Times New Roman"/>
        </w:rPr>
        <w:t>) wydatków na wynagrodzenia</w:t>
      </w:r>
      <w:r w:rsidRPr="00B01567">
        <w:rPr>
          <w:rFonts w:ascii="Times New Roman" w:hAnsi="Times New Roman"/>
        </w:rPr>
        <w:t xml:space="preserve"> z tytułu odpraw emerytalnych i</w:t>
      </w:r>
      <w:r>
        <w:rPr>
          <w:rFonts w:ascii="Times New Roman" w:hAnsi="Times New Roman"/>
        </w:rPr>
        <w:t xml:space="preserve"> </w:t>
      </w:r>
      <w:r w:rsidRPr="00C51AB0">
        <w:rPr>
          <w:rFonts w:ascii="Times New Roman" w:hAnsi="Times New Roman"/>
        </w:rPr>
        <w:t>odpraw w związku z przejściem na rentę z tytułu niezdolności do pracy. W wi</w:t>
      </w:r>
      <w:r w:rsidRPr="00B01567">
        <w:rPr>
          <w:rFonts w:ascii="Times New Roman" w:hAnsi="Times New Roman"/>
        </w:rPr>
        <w:t>elu przypadkach, zatrudnienie w </w:t>
      </w:r>
      <w:r w:rsidRPr="00C51AB0">
        <w:rPr>
          <w:rFonts w:ascii="Times New Roman" w:hAnsi="Times New Roman"/>
        </w:rPr>
        <w:t xml:space="preserve">jednostkach administracji zespolonej wynosi mniej niż pięćdziesiąt etatów i w konsekwencji, stosunkowo niewielka kwota środków planowana jest na wynagrodzenia. Jednostki te mają zatem ograniczoną możliwość zabezpieczania środków na ewentualne wypłaty odpraw emerytalnych i odpraw w związku z przejściem na rentę z </w:t>
      </w:r>
      <w:r w:rsidRPr="00B01567">
        <w:rPr>
          <w:rFonts w:ascii="Times New Roman" w:hAnsi="Times New Roman"/>
        </w:rPr>
        <w:t>tytułu niezdolności do pracy. W </w:t>
      </w:r>
      <w:r w:rsidRPr="00C51AB0">
        <w:rPr>
          <w:rFonts w:ascii="Times New Roman" w:hAnsi="Times New Roman"/>
        </w:rPr>
        <w:t>zakresie środków zaplanowanych na wynagrodzenia z tytułu odpraw emerytalnych i odpraw w związku z przejściem na rentę z tytułu niezdolności do pracy, rezerwa ta będzie miała charakter rezerwy celowej.</w:t>
      </w:r>
      <w:r w:rsidR="006A5137">
        <w:rPr>
          <w:rFonts w:ascii="Times New Roman" w:hAnsi="Times New Roman"/>
        </w:rPr>
        <w:t xml:space="preserve"> </w:t>
      </w:r>
      <w:r w:rsidRPr="00C51AB0">
        <w:rPr>
          <w:rFonts w:ascii="Times New Roman" w:hAnsi="Times New Roman"/>
        </w:rPr>
        <w:t xml:space="preserve">Należy zauważyć, ze zgodnie z opublikowaną </w:t>
      </w:r>
      <w:r w:rsidRPr="009B6D35">
        <w:rPr>
          <w:rFonts w:ascii="Times New Roman" w:hAnsi="Times New Roman"/>
          <w:i/>
        </w:rPr>
        <w:t>ustawą okołobudżetową na rok 2022</w:t>
      </w:r>
      <w:r w:rsidRPr="00C51AB0">
        <w:rPr>
          <w:rFonts w:ascii="Times New Roman" w:hAnsi="Times New Roman"/>
        </w:rPr>
        <w:t xml:space="preserve"> (art. 16 ust. 1 i 2), wprowadzono w formie pilotażowej możliwoś</w:t>
      </w:r>
      <w:r w:rsidRPr="00B01567">
        <w:rPr>
          <w:rFonts w:ascii="Times New Roman" w:hAnsi="Times New Roman"/>
        </w:rPr>
        <w:t xml:space="preserve">ć planowania przez </w:t>
      </w:r>
      <w:r w:rsidRPr="00B01567">
        <w:rPr>
          <w:rFonts w:ascii="Times New Roman" w:hAnsi="Times New Roman"/>
        </w:rPr>
        <w:lastRenderedPageBreak/>
        <w:t>wojewodów (w </w:t>
      </w:r>
      <w:r w:rsidRPr="00C51AB0">
        <w:rPr>
          <w:rFonts w:ascii="Times New Roman" w:hAnsi="Times New Roman"/>
        </w:rPr>
        <w:t xml:space="preserve">ramach rezerw, którymi dysponują) wydatków na wynagrodzenia z tytułu odpraw emerytalnych i odpraw w związku z przejściem na rentę z </w:t>
      </w:r>
      <w:r w:rsidRPr="00B01567">
        <w:rPr>
          <w:rFonts w:ascii="Times New Roman" w:hAnsi="Times New Roman"/>
        </w:rPr>
        <w:t>tytułu niezdolności do pracy. W </w:t>
      </w:r>
      <w:r w:rsidRPr="00C51AB0">
        <w:rPr>
          <w:rFonts w:ascii="Times New Roman" w:hAnsi="Times New Roman"/>
        </w:rPr>
        <w:t>związku z powyższym propo</w:t>
      </w:r>
      <w:r w:rsidRPr="00B01567">
        <w:rPr>
          <w:rFonts w:ascii="Times New Roman" w:hAnsi="Times New Roman"/>
        </w:rPr>
        <w:t>nujemy dostosowanie regulacji w</w:t>
      </w:r>
      <w:r>
        <w:rPr>
          <w:rFonts w:ascii="Times New Roman" w:hAnsi="Times New Roman"/>
        </w:rPr>
        <w:t xml:space="preserve"> </w:t>
      </w:r>
      <w:r w:rsidRPr="00C51AB0">
        <w:rPr>
          <w:rFonts w:ascii="Times New Roman" w:hAnsi="Times New Roman"/>
        </w:rPr>
        <w:t>przedmiotowym zakresie do przepisów, które zostały już przyjęte.</w:t>
      </w:r>
    </w:p>
    <w:p w14:paraId="35B1715C" w14:textId="77777777" w:rsidR="00B01567" w:rsidRPr="008E5FB3" w:rsidRDefault="00B01567" w:rsidP="00B01567">
      <w:pPr>
        <w:spacing w:line="276" w:lineRule="auto"/>
        <w:jc w:val="both"/>
        <w:rPr>
          <w:rFonts w:ascii="Times New Roman" w:hAnsi="Times New Roman"/>
          <w:b/>
        </w:rPr>
      </w:pPr>
    </w:p>
    <w:p w14:paraId="4C92EFB2" w14:textId="68BE464E"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t>zmian</w:t>
      </w:r>
      <w:r w:rsidR="003D31A6">
        <w:rPr>
          <w:rFonts w:ascii="Times New Roman" w:hAnsi="Times New Roman"/>
          <w:b/>
          <w:i/>
        </w:rPr>
        <w:t>a</w:t>
      </w:r>
      <w:r w:rsidRPr="008E5FB3">
        <w:rPr>
          <w:rFonts w:ascii="Times New Roman" w:hAnsi="Times New Roman"/>
          <w:b/>
          <w:i/>
        </w:rPr>
        <w:t xml:space="preserve"> w art. 143</w:t>
      </w:r>
      <w:r w:rsidR="003D31A6">
        <w:rPr>
          <w:rFonts w:ascii="Times New Roman" w:hAnsi="Times New Roman"/>
          <w:b/>
          <w:i/>
        </w:rPr>
        <w:t xml:space="preserve"> ust. 1 i 2</w:t>
      </w:r>
    </w:p>
    <w:p w14:paraId="3C024B1E" w14:textId="77777777" w:rsidR="00CB4517" w:rsidRPr="008E5FB3" w:rsidRDefault="00CB4517" w:rsidP="00C90852">
      <w:pPr>
        <w:spacing w:line="276" w:lineRule="auto"/>
        <w:jc w:val="both"/>
        <w:rPr>
          <w:rFonts w:ascii="Times New Roman" w:hAnsi="Times New Roman"/>
        </w:rPr>
      </w:pPr>
    </w:p>
    <w:p w14:paraId="3F08945E" w14:textId="3C0AC0AF" w:rsidR="00CB4517" w:rsidRDefault="00CB4517" w:rsidP="00C90852">
      <w:pPr>
        <w:spacing w:line="276" w:lineRule="auto"/>
        <w:jc w:val="both"/>
        <w:rPr>
          <w:rFonts w:ascii="Times New Roman" w:hAnsi="Times New Roman"/>
        </w:rPr>
      </w:pPr>
      <w:r w:rsidRPr="008E5FB3">
        <w:rPr>
          <w:rFonts w:ascii="Times New Roman" w:hAnsi="Times New Roman"/>
        </w:rPr>
        <w:t xml:space="preserve">W ust. 1 </w:t>
      </w:r>
      <w:r w:rsidR="00BE54D7">
        <w:rPr>
          <w:rFonts w:ascii="Times New Roman" w:hAnsi="Times New Roman"/>
        </w:rPr>
        <w:t>i</w:t>
      </w:r>
      <w:r w:rsidRPr="008E5FB3">
        <w:rPr>
          <w:rFonts w:ascii="Times New Roman" w:hAnsi="Times New Roman"/>
        </w:rPr>
        <w:t xml:space="preserve"> ust. 2 zaproponowano skrócenie terminów na przekazanie informacji o przyjętych przez Radę Ministrów w projekcie ustawy budżetowej kwotach oraz przekazanie projektów planów finansowych dysponentom części budżetowych</w:t>
      </w:r>
      <w:r w:rsidR="00BE54D7">
        <w:rPr>
          <w:rFonts w:ascii="Times New Roman" w:hAnsi="Times New Roman"/>
        </w:rPr>
        <w:t>. Z</w:t>
      </w:r>
      <w:r w:rsidRPr="008E5FB3">
        <w:rPr>
          <w:rFonts w:ascii="Times New Roman" w:hAnsi="Times New Roman"/>
        </w:rPr>
        <w:t>e względu na realizację procesów budżetowych w systemie Trezor (szybkość przepływu informacji) nie ma potrzeby pozostawiania dotychczasowych, dłuższych terminów, co wpłynie na przyspieszenie prac budżetowych. Obecnie informacje, o których mowa w ust. 1 dysponenci części budżetowych przekazują, w terminie do dnia 2</w:t>
      </w:r>
      <w:r w:rsidR="00BE54D7">
        <w:rPr>
          <w:rFonts w:ascii="Times New Roman" w:hAnsi="Times New Roman"/>
        </w:rPr>
        <w:t>5</w:t>
      </w:r>
      <w:r w:rsidRPr="008E5FB3">
        <w:rPr>
          <w:rFonts w:ascii="Times New Roman" w:hAnsi="Times New Roman"/>
        </w:rPr>
        <w:t xml:space="preserve"> października. Zaproponowano skrócenie tego terminu do 20 października. Natomiast informacje, o których mowa w ust. 2 (obecnie) jednostki podległe przekazują  właściwym dysponentom do 1 grudnia. Zaproponowano skrócenie wskazanego terminu do 2</w:t>
      </w:r>
      <w:r w:rsidR="008F4CB6">
        <w:rPr>
          <w:rFonts w:ascii="Times New Roman" w:hAnsi="Times New Roman"/>
        </w:rPr>
        <w:t>5</w:t>
      </w:r>
      <w:r w:rsidRPr="008E5FB3">
        <w:rPr>
          <w:rFonts w:ascii="Times New Roman" w:hAnsi="Times New Roman"/>
        </w:rPr>
        <w:t xml:space="preserve"> listopada.</w:t>
      </w:r>
    </w:p>
    <w:p w14:paraId="49765EEC" w14:textId="77777777" w:rsidR="002C33F7" w:rsidRPr="008E5FB3" w:rsidRDefault="002C33F7" w:rsidP="00C90852">
      <w:pPr>
        <w:spacing w:line="276" w:lineRule="auto"/>
        <w:jc w:val="both"/>
        <w:rPr>
          <w:rFonts w:ascii="Times New Roman" w:hAnsi="Times New Roman"/>
        </w:rPr>
      </w:pPr>
    </w:p>
    <w:p w14:paraId="303C9C31" w14:textId="75BD7103"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t xml:space="preserve">zmiana w art. 146 </w:t>
      </w:r>
      <w:r w:rsidR="003D31A6">
        <w:rPr>
          <w:rFonts w:ascii="Times New Roman" w:hAnsi="Times New Roman"/>
          <w:b/>
          <w:i/>
        </w:rPr>
        <w:t>ust. 1</w:t>
      </w:r>
    </w:p>
    <w:p w14:paraId="2040C12B" w14:textId="77777777" w:rsidR="00CB4517" w:rsidRPr="008E5FB3" w:rsidRDefault="00CB4517" w:rsidP="00C90852">
      <w:pPr>
        <w:spacing w:line="276" w:lineRule="auto"/>
        <w:jc w:val="both"/>
        <w:rPr>
          <w:rFonts w:ascii="Times New Roman" w:hAnsi="Times New Roman"/>
          <w:b/>
          <w:i/>
        </w:rPr>
      </w:pPr>
    </w:p>
    <w:p w14:paraId="6F3F5F64" w14:textId="683158CB" w:rsidR="00CB4517" w:rsidRPr="008E5FB3" w:rsidRDefault="00CB4517" w:rsidP="00C90852">
      <w:pPr>
        <w:spacing w:line="276" w:lineRule="auto"/>
        <w:jc w:val="both"/>
        <w:rPr>
          <w:rFonts w:ascii="Times New Roman" w:hAnsi="Times New Roman"/>
        </w:rPr>
      </w:pPr>
      <w:r w:rsidRPr="008E5FB3">
        <w:rPr>
          <w:rFonts w:ascii="Times New Roman" w:hAnsi="Times New Roman"/>
        </w:rPr>
        <w:t>Zmiana polega na skróceniu terminu na przekazanie je</w:t>
      </w:r>
      <w:r w:rsidR="005C1559">
        <w:rPr>
          <w:rFonts w:ascii="Times New Roman" w:hAnsi="Times New Roman"/>
        </w:rPr>
        <w:t>dnostkom podległym informacji o </w:t>
      </w:r>
      <w:r w:rsidRPr="008E5FB3">
        <w:rPr>
          <w:rFonts w:ascii="Times New Roman" w:hAnsi="Times New Roman"/>
        </w:rPr>
        <w:t>kwotach dochodów i wydatków</w:t>
      </w:r>
      <w:r w:rsidR="005C1559">
        <w:rPr>
          <w:rFonts w:ascii="Times New Roman" w:hAnsi="Times New Roman"/>
        </w:rPr>
        <w:t>,</w:t>
      </w:r>
      <w:r w:rsidRPr="008E5FB3">
        <w:rPr>
          <w:rFonts w:ascii="Times New Roman" w:hAnsi="Times New Roman"/>
        </w:rPr>
        <w:t xml:space="preserve"> w tym wynagrodzeń przez dysponentów części budżetowych </w:t>
      </w:r>
      <w:r w:rsidR="005C1559" w:rsidRPr="008E5FB3">
        <w:rPr>
          <w:rFonts w:ascii="Times New Roman" w:hAnsi="Times New Roman"/>
        </w:rPr>
        <w:t xml:space="preserve">do 7 dni kalendarzowych </w:t>
      </w:r>
      <w:r w:rsidRPr="008E5FB3">
        <w:rPr>
          <w:rFonts w:ascii="Times New Roman" w:hAnsi="Times New Roman"/>
          <w:i/>
        </w:rPr>
        <w:t>–</w:t>
      </w:r>
      <w:r w:rsidRPr="008E5FB3">
        <w:rPr>
          <w:rFonts w:ascii="Times New Roman" w:hAnsi="Times New Roman"/>
        </w:rPr>
        <w:t xml:space="preserve"> ze względu na realizację procesów budżetowych w systemie Trezor (szybkość przepływu informacji).</w:t>
      </w:r>
    </w:p>
    <w:p w14:paraId="14ED2DDA" w14:textId="372F8DA4" w:rsidR="00CB4517" w:rsidRPr="008E5FB3" w:rsidRDefault="00CB4517" w:rsidP="00C90852">
      <w:pPr>
        <w:spacing w:line="276" w:lineRule="auto"/>
        <w:jc w:val="both"/>
        <w:rPr>
          <w:rFonts w:ascii="Times New Roman" w:hAnsi="Times New Roman"/>
        </w:rPr>
      </w:pPr>
    </w:p>
    <w:p w14:paraId="6A04B1AD" w14:textId="5B3CC5AF"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t>zmiana w art. 150</w:t>
      </w:r>
      <w:r w:rsidR="003D31A6">
        <w:rPr>
          <w:rFonts w:ascii="Times New Roman" w:hAnsi="Times New Roman"/>
          <w:b/>
          <w:i/>
        </w:rPr>
        <w:t>, dodanie ust. 2 i</w:t>
      </w:r>
      <w:r w:rsidR="00353A96">
        <w:rPr>
          <w:rFonts w:ascii="Times New Roman" w:hAnsi="Times New Roman"/>
          <w:b/>
          <w:i/>
        </w:rPr>
        <w:t xml:space="preserve"> </w:t>
      </w:r>
      <w:r w:rsidRPr="008E5FB3">
        <w:rPr>
          <w:rFonts w:ascii="Times New Roman" w:hAnsi="Times New Roman"/>
          <w:b/>
          <w:i/>
        </w:rPr>
        <w:t>w art. 151</w:t>
      </w:r>
      <w:r w:rsidR="003D31A6">
        <w:rPr>
          <w:rFonts w:ascii="Times New Roman" w:hAnsi="Times New Roman"/>
          <w:b/>
          <w:i/>
        </w:rPr>
        <w:t>, dodanie ust. 3</w:t>
      </w:r>
    </w:p>
    <w:p w14:paraId="51211D80" w14:textId="77777777" w:rsidR="00CB4517" w:rsidRPr="008E5FB3" w:rsidRDefault="00CB4517" w:rsidP="00C90852">
      <w:pPr>
        <w:spacing w:line="276" w:lineRule="auto"/>
        <w:jc w:val="both"/>
        <w:rPr>
          <w:rFonts w:ascii="Times New Roman" w:hAnsi="Times New Roman"/>
        </w:rPr>
      </w:pPr>
    </w:p>
    <w:p w14:paraId="587494A5" w14:textId="18010A50" w:rsidR="00BE54D7" w:rsidRDefault="00E00DC9" w:rsidP="00C90852">
      <w:pPr>
        <w:spacing w:line="276" w:lineRule="auto"/>
        <w:jc w:val="both"/>
        <w:rPr>
          <w:rFonts w:ascii="Times New Roman" w:hAnsi="Times New Roman"/>
        </w:rPr>
      </w:pPr>
      <w:r>
        <w:rPr>
          <w:rFonts w:ascii="Times New Roman" w:hAnsi="Times New Roman"/>
        </w:rPr>
        <w:t>Z</w:t>
      </w:r>
      <w:r w:rsidR="00CB4517" w:rsidRPr="008E5FB3">
        <w:rPr>
          <w:rFonts w:ascii="Times New Roman" w:hAnsi="Times New Roman"/>
        </w:rPr>
        <w:t xml:space="preserve">miany </w:t>
      </w:r>
      <w:r>
        <w:rPr>
          <w:rFonts w:ascii="Times New Roman" w:hAnsi="Times New Roman"/>
        </w:rPr>
        <w:t xml:space="preserve">w ww. przepisach </w:t>
      </w:r>
      <w:r w:rsidR="00BE54D7">
        <w:rPr>
          <w:rFonts w:ascii="Times New Roman" w:hAnsi="Times New Roman"/>
        </w:rPr>
        <w:t xml:space="preserve">są </w:t>
      </w:r>
      <w:r w:rsidR="00CB4517" w:rsidRPr="008E5FB3">
        <w:rPr>
          <w:rFonts w:ascii="Times New Roman" w:hAnsi="Times New Roman"/>
        </w:rPr>
        <w:t>konieczne w związku z prowadzonymi postępowaniami administracyjnymi. Przepisy ustawy w obecnym brzmieniu nie zawierają regulacji stanowiącej, od jakiego terminu należy liczyć odsetki od kwot dotacji niewykorzystanych, przyznanych na podstawie umów zawartych w trybie art. 150 i art. 151 ustawy (kwestie terminu, od którego należy liczyć odsetki od kwot dotacji przypadających do zwrotu, zostały uregulowane wprost jedynie w art. 168 ust.</w:t>
      </w:r>
      <w:r w:rsidR="00BE54D7">
        <w:rPr>
          <w:rFonts w:ascii="Times New Roman" w:hAnsi="Times New Roman"/>
        </w:rPr>
        <w:t> </w:t>
      </w:r>
      <w:r w:rsidR="00CB4517" w:rsidRPr="008E5FB3">
        <w:rPr>
          <w:rFonts w:ascii="Times New Roman" w:hAnsi="Times New Roman"/>
        </w:rPr>
        <w:t xml:space="preserve">1, art. 169 ust. 5 oraz w art. 252 ust. 6 ustawy). </w:t>
      </w:r>
    </w:p>
    <w:p w14:paraId="7D91B843" w14:textId="77777777" w:rsidR="00BE54D7" w:rsidRDefault="00BE54D7" w:rsidP="00C90852">
      <w:pPr>
        <w:spacing w:line="276" w:lineRule="auto"/>
        <w:jc w:val="both"/>
        <w:rPr>
          <w:rFonts w:ascii="Times New Roman" w:hAnsi="Times New Roman"/>
        </w:rPr>
      </w:pPr>
    </w:p>
    <w:p w14:paraId="7E75A7AA" w14:textId="59873081" w:rsidR="00CB4517" w:rsidRDefault="00CB4517" w:rsidP="00C90852">
      <w:pPr>
        <w:spacing w:line="276" w:lineRule="auto"/>
        <w:jc w:val="both"/>
        <w:rPr>
          <w:rFonts w:ascii="Times New Roman" w:hAnsi="Times New Roman"/>
        </w:rPr>
      </w:pPr>
      <w:r w:rsidRPr="008E5FB3">
        <w:rPr>
          <w:rFonts w:ascii="Times New Roman" w:hAnsi="Times New Roman"/>
        </w:rPr>
        <w:t>Dla przejrzystości i jasności prowadzenia postępowania administracyjnego w tym zakresie zasadne jest precyzyjne określenie wskazanych terminów. W projektowanych przepisach sprecyzowano zatem, że od kwot dotacji niewykorzystanych, zwróconych po terminie określonym w umowie zawartej na podstawie art. 150 oraz na podstawie art. 151, nalicza się odsetki w wysokości określonej jak dla z</w:t>
      </w:r>
      <w:r w:rsidR="00E36D67">
        <w:rPr>
          <w:rFonts w:ascii="Times New Roman" w:hAnsi="Times New Roman"/>
        </w:rPr>
        <w:t xml:space="preserve">aległości podatkowych począwszy </w:t>
      </w:r>
      <w:r w:rsidRPr="008E5FB3">
        <w:rPr>
          <w:rFonts w:ascii="Times New Roman" w:hAnsi="Times New Roman"/>
        </w:rPr>
        <w:t>od dnia następującego po dniu, w którym upłynął termin zwrotu kwot dotacji niewykorzystanych w</w:t>
      </w:r>
      <w:r w:rsidR="00BE54D7">
        <w:rPr>
          <w:rFonts w:ascii="Times New Roman" w:hAnsi="Times New Roman"/>
        </w:rPr>
        <w:t> </w:t>
      </w:r>
      <w:r w:rsidRPr="008E5FB3">
        <w:rPr>
          <w:rFonts w:ascii="Times New Roman" w:hAnsi="Times New Roman"/>
        </w:rPr>
        <w:t>terminie, na który przyznano dotację.</w:t>
      </w:r>
    </w:p>
    <w:p w14:paraId="3D4102D1" w14:textId="77777777" w:rsidR="0066073A" w:rsidRDefault="0066073A" w:rsidP="00C90852">
      <w:pPr>
        <w:spacing w:line="276" w:lineRule="auto"/>
        <w:jc w:val="both"/>
        <w:rPr>
          <w:rFonts w:ascii="Times New Roman" w:hAnsi="Times New Roman"/>
        </w:rPr>
      </w:pPr>
    </w:p>
    <w:p w14:paraId="0215D2F6" w14:textId="77777777" w:rsidR="0066073A" w:rsidRDefault="0066073A" w:rsidP="00C90852">
      <w:pPr>
        <w:spacing w:line="276" w:lineRule="auto"/>
        <w:jc w:val="both"/>
        <w:rPr>
          <w:rFonts w:ascii="Times New Roman" w:hAnsi="Times New Roman"/>
        </w:rPr>
      </w:pPr>
    </w:p>
    <w:p w14:paraId="1A4AE257" w14:textId="77777777" w:rsidR="0066073A" w:rsidRDefault="0066073A" w:rsidP="00C90852">
      <w:pPr>
        <w:spacing w:line="276" w:lineRule="auto"/>
        <w:jc w:val="both"/>
        <w:rPr>
          <w:rFonts w:ascii="Times New Roman" w:hAnsi="Times New Roman"/>
        </w:rPr>
      </w:pPr>
    </w:p>
    <w:p w14:paraId="0FDD4686" w14:textId="77777777" w:rsidR="006F2E0E" w:rsidRDefault="006F2E0E" w:rsidP="00C90852">
      <w:pPr>
        <w:spacing w:line="276" w:lineRule="auto"/>
        <w:jc w:val="both"/>
        <w:rPr>
          <w:rFonts w:ascii="Times New Roman" w:hAnsi="Times New Roman"/>
        </w:rPr>
      </w:pPr>
    </w:p>
    <w:p w14:paraId="36E74824" w14:textId="0EE6223D" w:rsidR="006F2E0E" w:rsidRPr="00514978" w:rsidRDefault="006F2E0E" w:rsidP="00C90852">
      <w:pPr>
        <w:spacing w:line="276" w:lineRule="auto"/>
        <w:jc w:val="both"/>
        <w:rPr>
          <w:rFonts w:ascii="Times New Roman" w:hAnsi="Times New Roman"/>
          <w:b/>
          <w:i/>
        </w:rPr>
      </w:pPr>
      <w:r w:rsidRPr="00514978">
        <w:rPr>
          <w:rFonts w:ascii="Times New Roman" w:hAnsi="Times New Roman"/>
          <w:b/>
          <w:i/>
        </w:rPr>
        <w:t>zmiana w art. 152</w:t>
      </w:r>
      <w:r>
        <w:rPr>
          <w:rFonts w:ascii="Times New Roman" w:hAnsi="Times New Roman"/>
          <w:b/>
          <w:i/>
        </w:rPr>
        <w:t xml:space="preserve"> ust. 1</w:t>
      </w:r>
    </w:p>
    <w:p w14:paraId="59C3EAB7" w14:textId="77777777" w:rsidR="006F2E0E" w:rsidRDefault="006F2E0E" w:rsidP="00C90852">
      <w:pPr>
        <w:spacing w:line="276" w:lineRule="auto"/>
        <w:jc w:val="both"/>
        <w:rPr>
          <w:rFonts w:ascii="Times New Roman" w:hAnsi="Times New Roman"/>
        </w:rPr>
      </w:pPr>
    </w:p>
    <w:p w14:paraId="2E16DB7D" w14:textId="4C107A43" w:rsidR="00801A91" w:rsidRDefault="006F2E0E" w:rsidP="00C90852">
      <w:pPr>
        <w:spacing w:line="276" w:lineRule="auto"/>
        <w:jc w:val="both"/>
        <w:rPr>
          <w:rFonts w:ascii="Times New Roman" w:hAnsi="Times New Roman"/>
        </w:rPr>
      </w:pPr>
      <w:r>
        <w:rPr>
          <w:rFonts w:ascii="Times New Roman" w:hAnsi="Times New Roman"/>
        </w:rPr>
        <w:t xml:space="preserve">Ze względu na zmianę brzmienia art. 150 zasadna jest zmiana </w:t>
      </w:r>
      <w:r w:rsidR="00514978">
        <w:rPr>
          <w:rFonts w:ascii="Times New Roman" w:hAnsi="Times New Roman"/>
        </w:rPr>
        <w:t>o charakterze redakcyjnym w</w:t>
      </w:r>
      <w:r w:rsidR="00E36D67">
        <w:rPr>
          <w:rFonts w:ascii="Times New Roman" w:hAnsi="Times New Roman"/>
        </w:rPr>
        <w:t> </w:t>
      </w:r>
      <w:r w:rsidR="005C1559">
        <w:rPr>
          <w:rFonts w:ascii="Times New Roman" w:hAnsi="Times New Roman"/>
        </w:rPr>
        <w:t>art. </w:t>
      </w:r>
      <w:r>
        <w:rPr>
          <w:rFonts w:ascii="Times New Roman" w:hAnsi="Times New Roman"/>
        </w:rPr>
        <w:t>152 ust. 1</w:t>
      </w:r>
      <w:r w:rsidR="00514978">
        <w:rPr>
          <w:rFonts w:ascii="Times New Roman" w:hAnsi="Times New Roman"/>
        </w:rPr>
        <w:t>.</w:t>
      </w:r>
    </w:p>
    <w:p w14:paraId="3CF3384E" w14:textId="77777777" w:rsidR="006F2E0E" w:rsidRPr="008E5FB3" w:rsidRDefault="006F2E0E" w:rsidP="00C90852">
      <w:pPr>
        <w:spacing w:line="276" w:lineRule="auto"/>
        <w:jc w:val="both"/>
        <w:rPr>
          <w:rFonts w:ascii="Times New Roman" w:hAnsi="Times New Roman"/>
        </w:rPr>
      </w:pPr>
    </w:p>
    <w:p w14:paraId="6D512899" w14:textId="09BC2025" w:rsidR="00CB4517" w:rsidRPr="008E5FB3" w:rsidRDefault="00CB4517" w:rsidP="00C90852">
      <w:pPr>
        <w:spacing w:line="276" w:lineRule="auto"/>
        <w:jc w:val="both"/>
        <w:rPr>
          <w:rFonts w:ascii="Times New Roman" w:hAnsi="Times New Roman"/>
          <w:b/>
          <w:i/>
          <w:spacing w:val="-2"/>
        </w:rPr>
      </w:pPr>
      <w:r w:rsidRPr="008E5FB3">
        <w:rPr>
          <w:rFonts w:ascii="Times New Roman" w:hAnsi="Times New Roman"/>
          <w:b/>
          <w:i/>
          <w:spacing w:val="-2"/>
        </w:rPr>
        <w:t>zmiana</w:t>
      </w:r>
      <w:r w:rsidR="00801A91">
        <w:rPr>
          <w:rFonts w:ascii="Times New Roman" w:hAnsi="Times New Roman"/>
          <w:b/>
          <w:i/>
          <w:spacing w:val="-2"/>
        </w:rPr>
        <w:t xml:space="preserve"> </w:t>
      </w:r>
      <w:r w:rsidRPr="008E5FB3">
        <w:rPr>
          <w:rFonts w:ascii="Times New Roman" w:hAnsi="Times New Roman"/>
          <w:b/>
          <w:i/>
          <w:spacing w:val="-2"/>
        </w:rPr>
        <w:t>art. 153</w:t>
      </w:r>
    </w:p>
    <w:p w14:paraId="5D8F66BA" w14:textId="77777777" w:rsidR="00CB4517" w:rsidRPr="008E5FB3" w:rsidRDefault="00CB4517" w:rsidP="00C90852">
      <w:pPr>
        <w:pStyle w:val="Tekstpodstawowy"/>
        <w:tabs>
          <w:tab w:val="clear" w:pos="540"/>
          <w:tab w:val="clear" w:pos="5400"/>
        </w:tabs>
        <w:spacing w:after="0" w:line="276" w:lineRule="auto"/>
        <w:rPr>
          <w:spacing w:val="-2"/>
        </w:rPr>
      </w:pPr>
    </w:p>
    <w:p w14:paraId="4D948CF1" w14:textId="77777777" w:rsidR="00E36D67" w:rsidRDefault="002C2A7E" w:rsidP="00E00DC9">
      <w:pPr>
        <w:spacing w:line="276" w:lineRule="auto"/>
        <w:jc w:val="both"/>
        <w:rPr>
          <w:rFonts w:ascii="Times New Roman" w:hAnsi="Times New Roman"/>
        </w:rPr>
      </w:pPr>
      <w:r w:rsidRPr="008E5FB3">
        <w:rPr>
          <w:rFonts w:ascii="Times New Roman" w:hAnsi="Times New Roman"/>
        </w:rPr>
        <w:t>Zaproponowan</w:t>
      </w:r>
      <w:r>
        <w:rPr>
          <w:rFonts w:ascii="Times New Roman" w:hAnsi="Times New Roman"/>
        </w:rPr>
        <w:t>o</w:t>
      </w:r>
      <w:r w:rsidRPr="008E5FB3">
        <w:rPr>
          <w:rFonts w:ascii="Times New Roman" w:hAnsi="Times New Roman"/>
        </w:rPr>
        <w:t xml:space="preserve"> </w:t>
      </w:r>
      <w:r w:rsidR="00E00DC9">
        <w:rPr>
          <w:rFonts w:ascii="Times New Roman" w:hAnsi="Times New Roman"/>
        </w:rPr>
        <w:t>nowe brzmienie art. 153. Z</w:t>
      </w:r>
      <w:r w:rsidR="00CB4517" w:rsidRPr="008E5FB3">
        <w:rPr>
          <w:rFonts w:ascii="Times New Roman" w:hAnsi="Times New Roman"/>
        </w:rPr>
        <w:t>miana ma na celu doprecyzowanie, że decyzje o</w:t>
      </w:r>
      <w:r w:rsidR="00E00DC9">
        <w:rPr>
          <w:rFonts w:ascii="Times New Roman" w:hAnsi="Times New Roman"/>
        </w:rPr>
        <w:t> </w:t>
      </w:r>
      <w:r w:rsidR="00CB4517" w:rsidRPr="008E5FB3">
        <w:rPr>
          <w:rFonts w:ascii="Times New Roman" w:hAnsi="Times New Roman"/>
        </w:rPr>
        <w:t>zapewnieniu finansowania mogą być wydawane przez M</w:t>
      </w:r>
      <w:r w:rsidR="00BE54D7">
        <w:rPr>
          <w:rFonts w:ascii="Times New Roman" w:hAnsi="Times New Roman"/>
        </w:rPr>
        <w:t xml:space="preserve">inistra </w:t>
      </w:r>
      <w:r w:rsidR="00CB4517" w:rsidRPr="008E5FB3">
        <w:rPr>
          <w:rFonts w:ascii="Times New Roman" w:hAnsi="Times New Roman"/>
        </w:rPr>
        <w:t>F</w:t>
      </w:r>
      <w:r w:rsidR="00BE54D7">
        <w:rPr>
          <w:rFonts w:ascii="Times New Roman" w:hAnsi="Times New Roman"/>
        </w:rPr>
        <w:t>inansów</w:t>
      </w:r>
      <w:r w:rsidR="00CB4517" w:rsidRPr="008E5FB3">
        <w:rPr>
          <w:rFonts w:ascii="Times New Roman" w:hAnsi="Times New Roman"/>
        </w:rPr>
        <w:t xml:space="preserve"> tylko w zakresie środków</w:t>
      </w:r>
      <w:r w:rsidR="00681CA2">
        <w:rPr>
          <w:rFonts w:ascii="Times New Roman" w:hAnsi="Times New Roman"/>
        </w:rPr>
        <w:t xml:space="preserve"> zaplanowanych w</w:t>
      </w:r>
      <w:r w:rsidR="00CB4517" w:rsidRPr="008E5FB3">
        <w:rPr>
          <w:rFonts w:ascii="Times New Roman" w:hAnsi="Times New Roman"/>
        </w:rPr>
        <w:t xml:space="preserve"> rezerw</w:t>
      </w:r>
      <w:r w:rsidR="00681CA2">
        <w:rPr>
          <w:rFonts w:ascii="Times New Roman" w:hAnsi="Times New Roman"/>
        </w:rPr>
        <w:t>ach</w:t>
      </w:r>
      <w:r w:rsidR="00CB4517" w:rsidRPr="008E5FB3">
        <w:rPr>
          <w:rFonts w:ascii="Times New Roman" w:hAnsi="Times New Roman"/>
        </w:rPr>
        <w:t xml:space="preserve"> celowych. </w:t>
      </w:r>
      <w:r w:rsidR="00E36D67">
        <w:rPr>
          <w:rFonts w:ascii="Times New Roman" w:hAnsi="Times New Roman"/>
        </w:rPr>
        <w:t>Powyższe ma związek z</w:t>
      </w:r>
      <w:r w:rsidR="00CB4517" w:rsidRPr="008E5FB3">
        <w:rPr>
          <w:rFonts w:ascii="Times New Roman" w:hAnsi="Times New Roman"/>
        </w:rPr>
        <w:t xml:space="preserve"> podnoszon</w:t>
      </w:r>
      <w:r w:rsidR="00E36D67">
        <w:rPr>
          <w:rFonts w:ascii="Times New Roman" w:hAnsi="Times New Roman"/>
        </w:rPr>
        <w:t>ymi</w:t>
      </w:r>
      <w:r w:rsidR="00E00DC9">
        <w:rPr>
          <w:rFonts w:ascii="Times New Roman" w:hAnsi="Times New Roman"/>
        </w:rPr>
        <w:t xml:space="preserve"> (</w:t>
      </w:r>
      <w:r w:rsidR="00E36D67">
        <w:rPr>
          <w:rFonts w:ascii="Times New Roman" w:hAnsi="Times New Roman"/>
        </w:rPr>
        <w:t>także</w:t>
      </w:r>
      <w:r w:rsidR="00CB4517" w:rsidRPr="008E5FB3">
        <w:rPr>
          <w:rFonts w:ascii="Times New Roman" w:hAnsi="Times New Roman"/>
        </w:rPr>
        <w:t xml:space="preserve"> przez N</w:t>
      </w:r>
      <w:r w:rsidR="00E00DC9">
        <w:rPr>
          <w:rFonts w:ascii="Times New Roman" w:hAnsi="Times New Roman"/>
        </w:rPr>
        <w:t xml:space="preserve">ajwyższą </w:t>
      </w:r>
      <w:r w:rsidR="00CB4517" w:rsidRPr="008E5FB3">
        <w:rPr>
          <w:rFonts w:ascii="Times New Roman" w:hAnsi="Times New Roman"/>
        </w:rPr>
        <w:t>I</w:t>
      </w:r>
      <w:r w:rsidR="00E00DC9">
        <w:rPr>
          <w:rFonts w:ascii="Times New Roman" w:hAnsi="Times New Roman"/>
        </w:rPr>
        <w:t xml:space="preserve">zbę </w:t>
      </w:r>
      <w:r w:rsidR="00CB4517" w:rsidRPr="008E5FB3">
        <w:rPr>
          <w:rFonts w:ascii="Times New Roman" w:hAnsi="Times New Roman"/>
        </w:rPr>
        <w:t>K</w:t>
      </w:r>
      <w:r w:rsidR="00E00DC9">
        <w:rPr>
          <w:rFonts w:ascii="Times New Roman" w:hAnsi="Times New Roman"/>
        </w:rPr>
        <w:t>ontroli)</w:t>
      </w:r>
      <w:r w:rsidR="00CB4517" w:rsidRPr="008E5FB3">
        <w:rPr>
          <w:rFonts w:ascii="Times New Roman" w:hAnsi="Times New Roman"/>
        </w:rPr>
        <w:t xml:space="preserve"> wątpliwości</w:t>
      </w:r>
      <w:r w:rsidR="00E36D67">
        <w:rPr>
          <w:rFonts w:ascii="Times New Roman" w:hAnsi="Times New Roman"/>
        </w:rPr>
        <w:t>ami interpretacyjnymi</w:t>
      </w:r>
      <w:r w:rsidR="00CB4517" w:rsidRPr="008E5FB3">
        <w:rPr>
          <w:rFonts w:ascii="Times New Roman" w:hAnsi="Times New Roman"/>
        </w:rPr>
        <w:t xml:space="preserve"> </w:t>
      </w:r>
      <w:r w:rsidR="00E36D67">
        <w:rPr>
          <w:rFonts w:ascii="Times New Roman" w:hAnsi="Times New Roman"/>
        </w:rPr>
        <w:t>co do źródła udzielenia zapewnienia finansowania (</w:t>
      </w:r>
      <w:r w:rsidR="00CB4517" w:rsidRPr="008E5FB3">
        <w:rPr>
          <w:rFonts w:ascii="Times New Roman" w:hAnsi="Times New Roman"/>
        </w:rPr>
        <w:t>dofinansowania</w:t>
      </w:r>
      <w:r w:rsidR="00E36D67">
        <w:rPr>
          <w:rFonts w:ascii="Times New Roman" w:hAnsi="Times New Roman"/>
        </w:rPr>
        <w:t>)</w:t>
      </w:r>
      <w:r w:rsidR="00CB4517" w:rsidRPr="008E5FB3">
        <w:rPr>
          <w:rFonts w:ascii="Times New Roman" w:hAnsi="Times New Roman"/>
        </w:rPr>
        <w:t xml:space="preserve"> zadań ze środków budżetu państwa</w:t>
      </w:r>
      <w:r w:rsidR="00E36D67">
        <w:rPr>
          <w:rFonts w:ascii="Times New Roman" w:hAnsi="Times New Roman"/>
        </w:rPr>
        <w:t xml:space="preserve">. </w:t>
      </w:r>
    </w:p>
    <w:p w14:paraId="4A708AC8" w14:textId="77777777" w:rsidR="00E36D67" w:rsidRDefault="00E36D67" w:rsidP="00E00DC9">
      <w:pPr>
        <w:spacing w:line="276" w:lineRule="auto"/>
        <w:jc w:val="both"/>
        <w:rPr>
          <w:rFonts w:ascii="Times New Roman" w:hAnsi="Times New Roman"/>
        </w:rPr>
      </w:pPr>
    </w:p>
    <w:p w14:paraId="7F5C1B3D" w14:textId="668930E1" w:rsidR="00E00DC9" w:rsidRPr="00E00DC9" w:rsidRDefault="00E36D67" w:rsidP="00E00DC9">
      <w:pPr>
        <w:spacing w:line="276" w:lineRule="auto"/>
        <w:jc w:val="both"/>
        <w:rPr>
          <w:rFonts w:ascii="Times New Roman" w:hAnsi="Times New Roman"/>
        </w:rPr>
      </w:pPr>
      <w:r>
        <w:rPr>
          <w:rFonts w:ascii="Times New Roman" w:hAnsi="Times New Roman"/>
        </w:rPr>
        <w:t>W </w:t>
      </w:r>
      <w:r w:rsidR="00E00DC9">
        <w:rPr>
          <w:rFonts w:ascii="Times New Roman" w:hAnsi="Times New Roman"/>
        </w:rPr>
        <w:t xml:space="preserve">celu </w:t>
      </w:r>
      <w:r>
        <w:rPr>
          <w:rFonts w:ascii="Times New Roman" w:hAnsi="Times New Roman"/>
        </w:rPr>
        <w:t xml:space="preserve">zwiększenia </w:t>
      </w:r>
      <w:r w:rsidR="00E00DC9" w:rsidRPr="008E5FB3">
        <w:rPr>
          <w:rFonts w:ascii="Times New Roman" w:hAnsi="Times New Roman"/>
        </w:rPr>
        <w:t>przejrzystości finansowania</w:t>
      </w:r>
      <w:r>
        <w:rPr>
          <w:rFonts w:ascii="Times New Roman" w:hAnsi="Times New Roman"/>
        </w:rPr>
        <w:t xml:space="preserve"> (</w:t>
      </w:r>
      <w:r w:rsidR="00E00DC9">
        <w:rPr>
          <w:rFonts w:ascii="Times New Roman" w:hAnsi="Times New Roman"/>
        </w:rPr>
        <w:t>dofinansowania</w:t>
      </w:r>
      <w:r>
        <w:rPr>
          <w:rFonts w:ascii="Times New Roman" w:hAnsi="Times New Roman"/>
        </w:rPr>
        <w:t>)</w:t>
      </w:r>
      <w:r w:rsidR="00E00DC9" w:rsidRPr="008E5FB3">
        <w:rPr>
          <w:rFonts w:ascii="Times New Roman" w:hAnsi="Times New Roman"/>
        </w:rPr>
        <w:t xml:space="preserve"> zadań</w:t>
      </w:r>
      <w:r w:rsidR="00E00DC9">
        <w:rPr>
          <w:rFonts w:ascii="Times New Roman" w:hAnsi="Times New Roman"/>
        </w:rPr>
        <w:t>, uregulowano kwestię dotyczącą z</w:t>
      </w:r>
      <w:r w:rsidR="00E00DC9" w:rsidRPr="00E00DC9">
        <w:rPr>
          <w:rFonts w:ascii="Times New Roman" w:hAnsi="Times New Roman"/>
        </w:rPr>
        <w:t xml:space="preserve">miany </w:t>
      </w:r>
      <w:r>
        <w:rPr>
          <w:rFonts w:ascii="Times New Roman" w:hAnsi="Times New Roman"/>
        </w:rPr>
        <w:t>udzielonego</w:t>
      </w:r>
      <w:r w:rsidR="00E00DC9">
        <w:rPr>
          <w:rFonts w:ascii="Times New Roman" w:hAnsi="Times New Roman"/>
        </w:rPr>
        <w:t xml:space="preserve"> zapewnienia</w:t>
      </w:r>
      <w:r w:rsidR="00C87EE9">
        <w:rPr>
          <w:rFonts w:ascii="Times New Roman" w:hAnsi="Times New Roman"/>
        </w:rPr>
        <w:t xml:space="preserve"> </w:t>
      </w:r>
      <w:r>
        <w:rPr>
          <w:rFonts w:ascii="Times New Roman" w:hAnsi="Times New Roman"/>
        </w:rPr>
        <w:t xml:space="preserve">finansowania </w:t>
      </w:r>
      <w:r w:rsidR="00C87EE9">
        <w:rPr>
          <w:rFonts w:ascii="Times New Roman" w:hAnsi="Times New Roman"/>
        </w:rPr>
        <w:t>poprzez wskazanie, że</w:t>
      </w:r>
      <w:r w:rsidR="00E00DC9" w:rsidRPr="00E00DC9">
        <w:rPr>
          <w:rFonts w:ascii="Times New Roman" w:hAnsi="Times New Roman"/>
        </w:rPr>
        <w:t xml:space="preserve"> </w:t>
      </w:r>
      <w:r w:rsidR="00C87EE9">
        <w:rPr>
          <w:rFonts w:ascii="Times New Roman" w:hAnsi="Times New Roman"/>
        </w:rPr>
        <w:t>z</w:t>
      </w:r>
      <w:r w:rsidR="00E00DC9" w:rsidRPr="00E00DC9">
        <w:rPr>
          <w:rFonts w:ascii="Times New Roman" w:hAnsi="Times New Roman"/>
        </w:rPr>
        <w:t>miana</w:t>
      </w:r>
      <w:r w:rsidR="00C87EE9">
        <w:rPr>
          <w:rFonts w:ascii="Times New Roman" w:hAnsi="Times New Roman"/>
        </w:rPr>
        <w:t xml:space="preserve"> </w:t>
      </w:r>
      <w:r>
        <w:rPr>
          <w:rFonts w:ascii="Times New Roman" w:hAnsi="Times New Roman"/>
        </w:rPr>
        <w:t xml:space="preserve">taka </w:t>
      </w:r>
      <w:r w:rsidR="00E00DC9" w:rsidRPr="00E00DC9">
        <w:rPr>
          <w:rFonts w:ascii="Times New Roman" w:hAnsi="Times New Roman"/>
        </w:rPr>
        <w:t xml:space="preserve">może dotyczyć wyłącznie bieżącego roku budżetowego </w:t>
      </w:r>
      <w:r>
        <w:rPr>
          <w:rFonts w:ascii="Times New Roman" w:hAnsi="Times New Roman"/>
        </w:rPr>
        <w:t>lub następnych lat budżetowych. Wyłączono w ten sposób</w:t>
      </w:r>
      <w:r w:rsidR="00E00DC9">
        <w:rPr>
          <w:rFonts w:ascii="Times New Roman" w:hAnsi="Times New Roman"/>
        </w:rPr>
        <w:t xml:space="preserve"> </w:t>
      </w:r>
      <w:r w:rsidR="00C87EE9">
        <w:rPr>
          <w:rFonts w:ascii="Times New Roman" w:hAnsi="Times New Roman"/>
        </w:rPr>
        <w:t>wprost możliwość</w:t>
      </w:r>
      <w:r w:rsidR="00E00DC9">
        <w:rPr>
          <w:rFonts w:ascii="Times New Roman" w:hAnsi="Times New Roman"/>
        </w:rPr>
        <w:t xml:space="preserve"> korygowania decyzji wydanych w</w:t>
      </w:r>
      <w:r w:rsidR="00C87EE9">
        <w:rPr>
          <w:rFonts w:ascii="Times New Roman" w:hAnsi="Times New Roman"/>
        </w:rPr>
        <w:t> </w:t>
      </w:r>
      <w:r w:rsidR="00E00DC9">
        <w:rPr>
          <w:rFonts w:ascii="Times New Roman" w:hAnsi="Times New Roman"/>
        </w:rPr>
        <w:t>minionych latach budżetowych.</w:t>
      </w:r>
      <w:r w:rsidR="00E00DC9" w:rsidRPr="00E00DC9">
        <w:rPr>
          <w:rFonts w:ascii="Times New Roman" w:hAnsi="Times New Roman"/>
        </w:rPr>
        <w:t xml:space="preserve"> </w:t>
      </w:r>
      <w:r>
        <w:rPr>
          <w:rFonts w:ascii="Times New Roman" w:hAnsi="Times New Roman"/>
        </w:rPr>
        <w:t>Wskazano</w:t>
      </w:r>
      <w:r w:rsidR="00E00DC9" w:rsidRPr="00E00DC9">
        <w:rPr>
          <w:rFonts w:ascii="Times New Roman" w:hAnsi="Times New Roman"/>
        </w:rPr>
        <w:t xml:space="preserve"> </w:t>
      </w:r>
      <w:r w:rsidR="00C87EE9">
        <w:rPr>
          <w:rFonts w:ascii="Times New Roman" w:hAnsi="Times New Roman"/>
        </w:rPr>
        <w:t>t</w:t>
      </w:r>
      <w:r>
        <w:rPr>
          <w:rFonts w:ascii="Times New Roman" w:hAnsi="Times New Roman"/>
        </w:rPr>
        <w:t>akże</w:t>
      </w:r>
      <w:r w:rsidR="00E00DC9" w:rsidRPr="00E00DC9">
        <w:rPr>
          <w:rFonts w:ascii="Times New Roman" w:hAnsi="Times New Roman"/>
        </w:rPr>
        <w:t>, że</w:t>
      </w:r>
      <w:r>
        <w:rPr>
          <w:rFonts w:ascii="Times New Roman" w:hAnsi="Times New Roman"/>
        </w:rPr>
        <w:t xml:space="preserve"> wniosek</w:t>
      </w:r>
      <w:r w:rsidR="00267A51">
        <w:rPr>
          <w:rFonts w:ascii="Times New Roman" w:hAnsi="Times New Roman"/>
        </w:rPr>
        <w:t xml:space="preserve"> w sprawie zmiany udzielonego zapewnienia finansowania przedkładany jest </w:t>
      </w:r>
      <w:r w:rsidR="00E00DC9" w:rsidRPr="00E00DC9">
        <w:rPr>
          <w:rFonts w:ascii="Times New Roman" w:hAnsi="Times New Roman"/>
        </w:rPr>
        <w:t xml:space="preserve">Ministrowi Finansów </w:t>
      </w:r>
      <w:r w:rsidR="00267A51">
        <w:rPr>
          <w:rFonts w:ascii="Times New Roman" w:hAnsi="Times New Roman"/>
        </w:rPr>
        <w:t>nie później niż 10 dni przed upływem terminu, o którym mowa w art. 154 ust. 2 (tj. końca roku budżetowego).</w:t>
      </w:r>
    </w:p>
    <w:p w14:paraId="7190A0D5" w14:textId="77777777" w:rsidR="00CB4517" w:rsidRPr="008E5FB3" w:rsidRDefault="00CB4517" w:rsidP="00C90852">
      <w:pPr>
        <w:pStyle w:val="Tekstpodstawowy"/>
        <w:tabs>
          <w:tab w:val="clear" w:pos="540"/>
          <w:tab w:val="clear" w:pos="5400"/>
        </w:tabs>
        <w:spacing w:after="0" w:line="276" w:lineRule="auto"/>
        <w:rPr>
          <w:spacing w:val="-2"/>
        </w:rPr>
      </w:pPr>
    </w:p>
    <w:p w14:paraId="5476FE18" w14:textId="65B2358F" w:rsidR="00CB4517" w:rsidRPr="008E5FB3" w:rsidRDefault="00C15A16" w:rsidP="00C90852">
      <w:pPr>
        <w:spacing w:line="276" w:lineRule="auto"/>
        <w:jc w:val="both"/>
        <w:rPr>
          <w:rFonts w:ascii="Times New Roman" w:hAnsi="Times New Roman"/>
          <w:b/>
          <w:i/>
          <w:spacing w:val="-2"/>
        </w:rPr>
      </w:pPr>
      <w:r>
        <w:rPr>
          <w:rFonts w:ascii="Times New Roman" w:hAnsi="Times New Roman"/>
          <w:b/>
          <w:i/>
          <w:spacing w:val="-2"/>
        </w:rPr>
        <w:t>z</w:t>
      </w:r>
      <w:r w:rsidR="003D31A6">
        <w:rPr>
          <w:rFonts w:ascii="Times New Roman" w:hAnsi="Times New Roman"/>
          <w:b/>
          <w:i/>
          <w:spacing w:val="-2"/>
        </w:rPr>
        <w:t>miana</w:t>
      </w:r>
      <w:r>
        <w:rPr>
          <w:rFonts w:ascii="Times New Roman" w:hAnsi="Times New Roman"/>
          <w:b/>
          <w:i/>
          <w:spacing w:val="-2"/>
        </w:rPr>
        <w:t xml:space="preserve"> </w:t>
      </w:r>
      <w:r w:rsidR="00CB4517" w:rsidRPr="008E5FB3">
        <w:rPr>
          <w:rFonts w:ascii="Times New Roman" w:hAnsi="Times New Roman"/>
          <w:b/>
          <w:i/>
          <w:spacing w:val="-2"/>
        </w:rPr>
        <w:t xml:space="preserve">art. 154 </w:t>
      </w:r>
    </w:p>
    <w:p w14:paraId="73FEBC27" w14:textId="77777777" w:rsidR="00CB4517" w:rsidRPr="008E5FB3" w:rsidRDefault="00CB4517" w:rsidP="00C90852">
      <w:pPr>
        <w:spacing w:line="276" w:lineRule="auto"/>
        <w:jc w:val="both"/>
        <w:rPr>
          <w:rFonts w:ascii="Times New Roman" w:hAnsi="Times New Roman"/>
          <w:i/>
          <w:spacing w:val="-2"/>
        </w:rPr>
      </w:pPr>
    </w:p>
    <w:p w14:paraId="0E85116B" w14:textId="77777777" w:rsidR="00CB4517" w:rsidRPr="008E5FB3" w:rsidRDefault="00CB4517" w:rsidP="00C90852">
      <w:pPr>
        <w:spacing w:line="276" w:lineRule="auto"/>
        <w:jc w:val="both"/>
        <w:rPr>
          <w:rFonts w:ascii="Times New Roman" w:hAnsi="Times New Roman"/>
        </w:rPr>
      </w:pPr>
      <w:r w:rsidRPr="008E5FB3">
        <w:rPr>
          <w:rFonts w:ascii="Times New Roman" w:hAnsi="Times New Roman"/>
        </w:rPr>
        <w:t>Zmiana brzmienia art. 154 polega na:</w:t>
      </w:r>
    </w:p>
    <w:p w14:paraId="21F9E30E" w14:textId="4519E279" w:rsidR="00CB4517" w:rsidRPr="008E5FB3" w:rsidRDefault="00CB4517" w:rsidP="00C90852">
      <w:pPr>
        <w:pStyle w:val="Akapitzlist"/>
        <w:numPr>
          <w:ilvl w:val="0"/>
          <w:numId w:val="1"/>
        </w:numPr>
        <w:spacing w:after="120" w:line="276" w:lineRule="auto"/>
        <w:ind w:left="425" w:hanging="357"/>
        <w:contextualSpacing w:val="0"/>
        <w:jc w:val="both"/>
        <w:rPr>
          <w:rFonts w:ascii="Times New Roman" w:hAnsi="Times New Roman"/>
        </w:rPr>
      </w:pPr>
      <w:proofErr w:type="spellStart"/>
      <w:r w:rsidRPr="008E5FB3">
        <w:rPr>
          <w:rFonts w:ascii="Times New Roman" w:hAnsi="Times New Roman"/>
        </w:rPr>
        <w:t>u</w:t>
      </w:r>
      <w:r w:rsidR="00681CA2">
        <w:rPr>
          <w:rFonts w:ascii="Times New Roman" w:hAnsi="Times New Roman"/>
        </w:rPr>
        <w:t>spójnieniu</w:t>
      </w:r>
      <w:proofErr w:type="spellEnd"/>
      <w:r w:rsidRPr="008E5FB3">
        <w:rPr>
          <w:rFonts w:ascii="Times New Roman" w:hAnsi="Times New Roman"/>
        </w:rPr>
        <w:t xml:space="preserve"> terminów podziału rezerw celowych poprzez wprowadzenie jedynie dwóch terminów podziału, tj. podstawowego terminu podziału rezerw celowych – 15 października roku budżetowego, a dla rezerw z udziałem środków UE</w:t>
      </w:r>
      <w:r w:rsidR="00AC7034">
        <w:rPr>
          <w:rFonts w:ascii="Times New Roman" w:hAnsi="Times New Roman"/>
        </w:rPr>
        <w:t xml:space="preserve"> i EFTA</w:t>
      </w:r>
      <w:r w:rsidRPr="008E5FB3">
        <w:rPr>
          <w:rFonts w:ascii="Times New Roman" w:hAnsi="Times New Roman"/>
        </w:rPr>
        <w:t xml:space="preserve">, środków z kredytów lub innych źródeł, na zobowiązania wymagalne Skarbu Państwa, usuwanie skutków klęsk żywiołowych oraz dla </w:t>
      </w:r>
      <w:r w:rsidR="00AC7034">
        <w:rPr>
          <w:rFonts w:ascii="Times New Roman" w:hAnsi="Times New Roman"/>
        </w:rPr>
        <w:t>zadań</w:t>
      </w:r>
      <w:r w:rsidRPr="008E5FB3">
        <w:rPr>
          <w:rFonts w:ascii="Times New Roman" w:hAnsi="Times New Roman"/>
        </w:rPr>
        <w:t xml:space="preserve">, dla których wydano decyzje o zapewnieniu finansowania </w:t>
      </w:r>
      <w:r w:rsidRPr="008E5FB3">
        <w:rPr>
          <w:rFonts w:ascii="Times New Roman" w:hAnsi="Times New Roman"/>
          <w:i/>
        </w:rPr>
        <w:t>–</w:t>
      </w:r>
      <w:r w:rsidRPr="008E5FB3">
        <w:rPr>
          <w:rFonts w:ascii="Times New Roman" w:hAnsi="Times New Roman"/>
        </w:rPr>
        <w:t xml:space="preserve">  do końca roku budżetowego</w:t>
      </w:r>
      <w:r w:rsidR="00414024">
        <w:rPr>
          <w:rFonts w:ascii="Times New Roman" w:hAnsi="Times New Roman"/>
        </w:rPr>
        <w:t>,</w:t>
      </w:r>
    </w:p>
    <w:p w14:paraId="2B9FB9F0" w14:textId="1930878E" w:rsidR="00CB4517" w:rsidRPr="008E5FB3" w:rsidRDefault="000A3AF5" w:rsidP="00C90852">
      <w:pPr>
        <w:pStyle w:val="Akapitzlist"/>
        <w:numPr>
          <w:ilvl w:val="0"/>
          <w:numId w:val="1"/>
        </w:numPr>
        <w:spacing w:after="120" w:line="276" w:lineRule="auto"/>
        <w:ind w:left="425"/>
        <w:contextualSpacing w:val="0"/>
        <w:jc w:val="both"/>
        <w:rPr>
          <w:rFonts w:ascii="Times New Roman" w:hAnsi="Times New Roman"/>
        </w:rPr>
      </w:pPr>
      <w:r w:rsidRPr="008E5FB3">
        <w:rPr>
          <w:rFonts w:ascii="Times New Roman" w:hAnsi="Times New Roman"/>
        </w:rPr>
        <w:t>uproszczeni</w:t>
      </w:r>
      <w:r>
        <w:rPr>
          <w:rFonts w:ascii="Times New Roman" w:hAnsi="Times New Roman"/>
        </w:rPr>
        <w:t>u</w:t>
      </w:r>
      <w:r w:rsidRPr="008E5FB3">
        <w:rPr>
          <w:rFonts w:ascii="Times New Roman" w:hAnsi="Times New Roman"/>
        </w:rPr>
        <w:t xml:space="preserve"> </w:t>
      </w:r>
      <w:r w:rsidR="00CB4517" w:rsidRPr="008E5FB3">
        <w:rPr>
          <w:rFonts w:ascii="Times New Roman" w:hAnsi="Times New Roman"/>
        </w:rPr>
        <w:t xml:space="preserve">regulacji dotyczących podziału rezerwy celowej przeznaczonej na realizację programów finansowanych ze środków UE. W przepisie tym określono również zasady podziału rezerwy na realizację programów z udziałem środków niepodlegających zwrotowi (art. 5 ust. 1 pkt 3), w związku ze zmianą wprowadzoną w art. 111 pkt 16, </w:t>
      </w:r>
      <w:r w:rsidR="00CB4517" w:rsidRPr="008E5FB3">
        <w:rPr>
          <w:rFonts w:ascii="Times New Roman" w:hAnsi="Times New Roman"/>
        </w:rPr>
        <w:br/>
        <w:t>co przyczyni się do sprawniejszej realizacji projektów z udziałem tych środków</w:t>
      </w:r>
      <w:r w:rsidR="00414024">
        <w:rPr>
          <w:rFonts w:ascii="Times New Roman" w:hAnsi="Times New Roman"/>
        </w:rPr>
        <w:t>,</w:t>
      </w:r>
    </w:p>
    <w:p w14:paraId="5663F813" w14:textId="000B7327" w:rsidR="0057757D" w:rsidRPr="008E5FB3" w:rsidRDefault="00CB4517" w:rsidP="00C90852">
      <w:pPr>
        <w:pStyle w:val="Akapitzlist"/>
        <w:numPr>
          <w:ilvl w:val="0"/>
          <w:numId w:val="2"/>
        </w:numPr>
        <w:spacing w:after="120" w:line="276" w:lineRule="auto"/>
        <w:ind w:left="425" w:hanging="284"/>
        <w:contextualSpacing w:val="0"/>
        <w:jc w:val="both"/>
        <w:rPr>
          <w:rFonts w:ascii="Times New Roman" w:hAnsi="Times New Roman"/>
        </w:rPr>
      </w:pPr>
      <w:r w:rsidRPr="008E5FB3">
        <w:rPr>
          <w:rFonts w:ascii="Times New Roman" w:hAnsi="Times New Roman"/>
        </w:rPr>
        <w:t xml:space="preserve">wprowadzeniu regulacji nakładającej obowiązek przygotowania przez właściwych dysponentów części budżetowych propozycji podziału rezerw celowych, w wyniku których następuje zwiększenie wydatków w częściach, którymi dysponują wojewodowie </w:t>
      </w:r>
      <w:r w:rsidRPr="008E5FB3">
        <w:rPr>
          <w:rFonts w:ascii="Times New Roman" w:hAnsi="Times New Roman"/>
        </w:rPr>
        <w:br/>
        <w:t>i poinformowanie ich o tym fakcie, w terminie do dnia 30 września roku budżetowego, co ma zapewnić wojewodom możliwość terminowego wystąpienia do Ministra Finansów o podział rezerw celowych</w:t>
      </w:r>
      <w:r w:rsidR="00414024">
        <w:rPr>
          <w:rFonts w:ascii="Times New Roman" w:hAnsi="Times New Roman"/>
        </w:rPr>
        <w:t>,</w:t>
      </w:r>
    </w:p>
    <w:p w14:paraId="6D17F45C" w14:textId="06A2786B" w:rsidR="00CB4517" w:rsidRPr="009B6D35" w:rsidRDefault="00155413" w:rsidP="009B6D35">
      <w:pPr>
        <w:pStyle w:val="Akapitzlist"/>
        <w:numPr>
          <w:ilvl w:val="0"/>
          <w:numId w:val="2"/>
        </w:numPr>
        <w:spacing w:after="120" w:line="276" w:lineRule="auto"/>
        <w:ind w:left="425" w:hanging="284"/>
        <w:contextualSpacing w:val="0"/>
        <w:jc w:val="both"/>
        <w:rPr>
          <w:rFonts w:ascii="Times New Roman" w:hAnsi="Times New Roman"/>
        </w:rPr>
      </w:pPr>
      <w:r>
        <w:rPr>
          <w:rFonts w:ascii="Times New Roman" w:hAnsi="Times New Roman"/>
        </w:rPr>
        <w:lastRenderedPageBreak/>
        <w:t>wdrożeniu</w:t>
      </w:r>
      <w:r w:rsidRPr="006C507A">
        <w:rPr>
          <w:rFonts w:ascii="Times New Roman" w:hAnsi="Times New Roman"/>
        </w:rPr>
        <w:t xml:space="preserve"> </w:t>
      </w:r>
      <w:r w:rsidRPr="00155413">
        <w:rPr>
          <w:rFonts w:ascii="Times New Roman" w:hAnsi="Times New Roman"/>
        </w:rPr>
        <w:t>regulacji określających</w:t>
      </w:r>
      <w:r w:rsidRPr="006C507A">
        <w:rPr>
          <w:rFonts w:ascii="Times New Roman" w:hAnsi="Times New Roman"/>
        </w:rPr>
        <w:t xml:space="preserve"> termin składania wniosków przez dysponentów części budżetowych o podział rezerw celowych. Zgodnie z projektowanym przepisem dysponent występuje z wnioskiem o podział rezerwy celowej nie później niż 10 dni przed upływem terminu, o którym mowa w ust. 1 tj. do 5 października danego roku lub na 10 dni przed upływem terminu, o którym mowa w ust. 2 tj. do 21 grud</w:t>
      </w:r>
      <w:r w:rsidR="00C2770D">
        <w:rPr>
          <w:rFonts w:ascii="Times New Roman" w:hAnsi="Times New Roman"/>
        </w:rPr>
        <w:t>nia danego roku. Jednocześnie w </w:t>
      </w:r>
      <w:r w:rsidRPr="006C507A">
        <w:rPr>
          <w:rFonts w:ascii="Times New Roman" w:hAnsi="Times New Roman"/>
        </w:rPr>
        <w:t>projektowanym przepisie doprecyzowano, że regulacji określającej termin na złożenie wniosku przez dysponenta nie należy stosować do re</w:t>
      </w:r>
      <w:r w:rsidR="005C1559">
        <w:rPr>
          <w:rFonts w:ascii="Times New Roman" w:hAnsi="Times New Roman"/>
        </w:rPr>
        <w:t>zerw celowych, o których mowa w </w:t>
      </w:r>
      <w:r w:rsidRPr="006C507A">
        <w:rPr>
          <w:rFonts w:ascii="Times New Roman" w:hAnsi="Times New Roman"/>
        </w:rPr>
        <w:t xml:space="preserve">ust. 2 </w:t>
      </w:r>
      <w:r w:rsidR="006C507A">
        <w:rPr>
          <w:rFonts w:ascii="Times New Roman" w:hAnsi="Times New Roman"/>
        </w:rPr>
        <w:t>pkt</w:t>
      </w:r>
      <w:r w:rsidRPr="006C507A">
        <w:rPr>
          <w:rFonts w:ascii="Times New Roman" w:hAnsi="Times New Roman"/>
        </w:rPr>
        <w:t xml:space="preserve"> </w:t>
      </w:r>
      <w:r w:rsidR="006C507A">
        <w:rPr>
          <w:rFonts w:ascii="Times New Roman" w:hAnsi="Times New Roman"/>
        </w:rPr>
        <w:t>1</w:t>
      </w:r>
      <w:r w:rsidR="009B6D35">
        <w:rPr>
          <w:rFonts w:ascii="Times New Roman" w:hAnsi="Times New Roman"/>
        </w:rPr>
        <w:t>–</w:t>
      </w:r>
      <w:r w:rsidR="006C507A" w:rsidRPr="009B6D35">
        <w:rPr>
          <w:rFonts w:ascii="Times New Roman" w:hAnsi="Times New Roman"/>
        </w:rPr>
        <w:t>3</w:t>
      </w:r>
      <w:r w:rsidRPr="009B6D35">
        <w:rPr>
          <w:rFonts w:ascii="Times New Roman" w:hAnsi="Times New Roman"/>
        </w:rPr>
        <w:t xml:space="preserve"> (tj. określonych w art. 140 ust. 2 pkt 2 i 3, przeznaczonych na finansowanie zobowiązań Skarbu Państwa, przeznaczonych na przeciwdziałanie klęskom żywiołowym i usuwanie ich skutków). Szczególny charakter wymienionych wyżej rezerw powoduje, że utrudnione jest określenie w sposób sztywny i precyzyjny terminu na złożenie wniosku przez dysponenta o podział rezerw celowych. W rezerwach tych są bowiem ujmowane m.in. środki dedykowane finansowaniu zdarzeń o charakterze losowym. </w:t>
      </w:r>
      <w:r w:rsidR="006C507A" w:rsidRPr="009B6D35">
        <w:rPr>
          <w:rFonts w:ascii="Times New Roman" w:hAnsi="Times New Roman"/>
        </w:rPr>
        <w:t>Z przepisów powinna wynikać możliwość uruchamiania środków ujętych w ww. rezerwach bez z góry ust</w:t>
      </w:r>
      <w:r w:rsidR="00C2770D" w:rsidRPr="009B6D35">
        <w:rPr>
          <w:rFonts w:ascii="Times New Roman" w:hAnsi="Times New Roman"/>
        </w:rPr>
        <w:t>alonego ograniczenia czasowego (w szczególności co do terminu wnioskowania o środki z tych rezerw).</w:t>
      </w:r>
    </w:p>
    <w:p w14:paraId="4B066442" w14:textId="77777777" w:rsidR="00CB4517" w:rsidRPr="008E5FB3" w:rsidRDefault="00CB4517" w:rsidP="00C90852">
      <w:pPr>
        <w:spacing w:line="276" w:lineRule="auto"/>
        <w:jc w:val="both"/>
        <w:rPr>
          <w:rFonts w:ascii="Times New Roman" w:hAnsi="Times New Roman"/>
          <w:b/>
        </w:rPr>
      </w:pPr>
    </w:p>
    <w:p w14:paraId="4F41151D" w14:textId="0BEC8A8A" w:rsidR="00CB4517" w:rsidRPr="008E5FB3" w:rsidRDefault="00B42069" w:rsidP="00C90852">
      <w:pPr>
        <w:spacing w:line="276" w:lineRule="auto"/>
        <w:jc w:val="both"/>
        <w:rPr>
          <w:rFonts w:ascii="Times New Roman" w:hAnsi="Times New Roman"/>
          <w:b/>
          <w:i/>
        </w:rPr>
      </w:pPr>
      <w:r>
        <w:rPr>
          <w:rFonts w:ascii="Times New Roman" w:hAnsi="Times New Roman"/>
          <w:b/>
          <w:i/>
        </w:rPr>
        <w:t>d</w:t>
      </w:r>
      <w:r w:rsidRPr="008E5FB3">
        <w:rPr>
          <w:rFonts w:ascii="Times New Roman" w:hAnsi="Times New Roman"/>
          <w:b/>
          <w:i/>
        </w:rPr>
        <w:t>odanie</w:t>
      </w:r>
      <w:r>
        <w:rPr>
          <w:rFonts w:ascii="Times New Roman" w:hAnsi="Times New Roman"/>
          <w:b/>
          <w:i/>
        </w:rPr>
        <w:t xml:space="preserve"> </w:t>
      </w:r>
      <w:r w:rsidR="00CB4517" w:rsidRPr="008E5FB3">
        <w:rPr>
          <w:rFonts w:ascii="Times New Roman" w:hAnsi="Times New Roman"/>
          <w:b/>
          <w:i/>
        </w:rPr>
        <w:t>art. 154a</w:t>
      </w:r>
    </w:p>
    <w:p w14:paraId="0ED3CAE9" w14:textId="77777777" w:rsidR="00CB4517" w:rsidRPr="008E5FB3" w:rsidRDefault="00CB4517" w:rsidP="00C90852">
      <w:pPr>
        <w:spacing w:line="276" w:lineRule="auto"/>
        <w:jc w:val="both"/>
        <w:rPr>
          <w:rFonts w:ascii="Times New Roman" w:hAnsi="Times New Roman"/>
          <w:b/>
          <w:i/>
        </w:rPr>
      </w:pPr>
    </w:p>
    <w:p w14:paraId="6BEE7F6F" w14:textId="77777777" w:rsidR="006C507A" w:rsidRDefault="00D82D1E" w:rsidP="006C507A">
      <w:pPr>
        <w:pStyle w:val="Tekstpodstawowy"/>
        <w:spacing w:line="276" w:lineRule="auto"/>
        <w:rPr>
          <w:spacing w:val="-2"/>
        </w:rPr>
      </w:pPr>
      <w:r w:rsidRPr="00D82D1E">
        <w:rPr>
          <w:spacing w:val="-2"/>
        </w:rPr>
        <w:t>Przyczynami wprowadzeni</w:t>
      </w:r>
      <w:r w:rsidR="006C507A">
        <w:rPr>
          <w:spacing w:val="-2"/>
        </w:rPr>
        <w:t>a nowej regulacji art. 154a są:</w:t>
      </w:r>
    </w:p>
    <w:p w14:paraId="7A1A5D2C" w14:textId="29C90BC7" w:rsidR="006C507A" w:rsidRPr="006C507A" w:rsidRDefault="00D82D1E" w:rsidP="006C507A">
      <w:pPr>
        <w:pStyle w:val="Akapitzlist"/>
        <w:numPr>
          <w:ilvl w:val="0"/>
          <w:numId w:val="2"/>
        </w:numPr>
        <w:spacing w:after="120" w:line="276" w:lineRule="auto"/>
        <w:ind w:left="425" w:hanging="284"/>
        <w:contextualSpacing w:val="0"/>
        <w:jc w:val="both"/>
        <w:rPr>
          <w:rFonts w:ascii="Times New Roman" w:hAnsi="Times New Roman"/>
        </w:rPr>
      </w:pPr>
      <w:r w:rsidRPr="006C507A">
        <w:rPr>
          <w:rFonts w:ascii="Times New Roman" w:hAnsi="Times New Roman"/>
        </w:rPr>
        <w:t xml:space="preserve">konieczność przeniesienia </w:t>
      </w:r>
      <w:r w:rsidR="00D8275B" w:rsidRPr="006C507A">
        <w:rPr>
          <w:rFonts w:ascii="Times New Roman" w:hAnsi="Times New Roman"/>
        </w:rPr>
        <w:t>do odrębnej jednostki redakcyjnej regulacji zawartej</w:t>
      </w:r>
      <w:r w:rsidR="00D8275B">
        <w:rPr>
          <w:rFonts w:ascii="Times New Roman" w:hAnsi="Times New Roman"/>
        </w:rPr>
        <w:t xml:space="preserve"> w </w:t>
      </w:r>
      <w:r w:rsidR="00D8275B" w:rsidRPr="006C507A">
        <w:rPr>
          <w:rFonts w:ascii="Times New Roman" w:hAnsi="Times New Roman"/>
        </w:rPr>
        <w:t xml:space="preserve">art. 154 ust. 4 </w:t>
      </w:r>
      <w:r w:rsidRPr="006C507A">
        <w:rPr>
          <w:rFonts w:ascii="Times New Roman" w:hAnsi="Times New Roman"/>
        </w:rPr>
        <w:t>z uwagi na podmiot regulacji, tj. podział rezerwy</w:t>
      </w:r>
      <w:r w:rsidR="006C507A" w:rsidRPr="006C507A">
        <w:rPr>
          <w:rFonts w:ascii="Times New Roman" w:hAnsi="Times New Roman"/>
        </w:rPr>
        <w:t xml:space="preserve"> </w:t>
      </w:r>
      <w:r w:rsidRPr="006C507A">
        <w:rPr>
          <w:rFonts w:ascii="Times New Roman" w:hAnsi="Times New Roman"/>
        </w:rPr>
        <w:t>celowej przez Radę Ministrów oraz ze względu na konieczność doprecyzowania zasad</w:t>
      </w:r>
      <w:r w:rsidR="006C507A" w:rsidRPr="006C507A">
        <w:rPr>
          <w:rFonts w:ascii="Times New Roman" w:hAnsi="Times New Roman"/>
        </w:rPr>
        <w:t xml:space="preserve"> </w:t>
      </w:r>
      <w:r w:rsidRPr="006C507A">
        <w:rPr>
          <w:rFonts w:ascii="Times New Roman" w:hAnsi="Times New Roman"/>
        </w:rPr>
        <w:t>jej podziału. Obecne brzmienie art. 154 ust. 4 budziło wiele wątpliwości</w:t>
      </w:r>
      <w:r w:rsidR="006C507A" w:rsidRPr="006C507A">
        <w:rPr>
          <w:rFonts w:ascii="Times New Roman" w:hAnsi="Times New Roman"/>
        </w:rPr>
        <w:t xml:space="preserve"> </w:t>
      </w:r>
      <w:r w:rsidRPr="006C507A">
        <w:rPr>
          <w:rFonts w:ascii="Times New Roman" w:hAnsi="Times New Roman"/>
        </w:rPr>
        <w:t>interpretacyjnych ze względu na brak określonego terminu podziału rezerwy przez</w:t>
      </w:r>
      <w:r w:rsidR="006C507A" w:rsidRPr="006C507A">
        <w:rPr>
          <w:rFonts w:ascii="Times New Roman" w:hAnsi="Times New Roman"/>
        </w:rPr>
        <w:t xml:space="preserve"> </w:t>
      </w:r>
      <w:r w:rsidRPr="006C507A">
        <w:rPr>
          <w:rFonts w:ascii="Times New Roman" w:hAnsi="Times New Roman"/>
        </w:rPr>
        <w:t xml:space="preserve">Radę Ministrów. Z obowiązujących przepisów </w:t>
      </w:r>
      <w:r w:rsidR="00D8275B" w:rsidRPr="006C507A">
        <w:rPr>
          <w:rFonts w:ascii="Times New Roman" w:hAnsi="Times New Roman"/>
        </w:rPr>
        <w:t xml:space="preserve">jednoznacznie </w:t>
      </w:r>
      <w:r w:rsidRPr="006C507A">
        <w:rPr>
          <w:rFonts w:ascii="Times New Roman" w:hAnsi="Times New Roman"/>
        </w:rPr>
        <w:t>nie wynikało</w:t>
      </w:r>
      <w:r w:rsidR="00D8275B">
        <w:rPr>
          <w:rFonts w:ascii="Times New Roman" w:hAnsi="Times New Roman"/>
        </w:rPr>
        <w:t>,</w:t>
      </w:r>
      <w:r w:rsidRPr="006C507A">
        <w:rPr>
          <w:rFonts w:ascii="Times New Roman" w:hAnsi="Times New Roman"/>
        </w:rPr>
        <w:t xml:space="preserve"> czy</w:t>
      </w:r>
      <w:r w:rsidR="006C507A" w:rsidRPr="006C507A">
        <w:rPr>
          <w:rFonts w:ascii="Times New Roman" w:hAnsi="Times New Roman"/>
        </w:rPr>
        <w:t xml:space="preserve"> </w:t>
      </w:r>
      <w:r w:rsidRPr="006C507A">
        <w:rPr>
          <w:rFonts w:ascii="Times New Roman" w:hAnsi="Times New Roman"/>
        </w:rPr>
        <w:t>wskazany w art. 154 ust. 1 termin podziału rezerw celowych przez Ministra Finansów</w:t>
      </w:r>
      <w:r w:rsidR="006C507A" w:rsidRPr="006C507A">
        <w:rPr>
          <w:rFonts w:ascii="Times New Roman" w:hAnsi="Times New Roman"/>
        </w:rPr>
        <w:t xml:space="preserve"> </w:t>
      </w:r>
      <w:r w:rsidRPr="006C507A">
        <w:rPr>
          <w:rFonts w:ascii="Times New Roman" w:hAnsi="Times New Roman"/>
        </w:rPr>
        <w:t>w porozumieniu z właściwymi ministrami lub innymi dysponentami części</w:t>
      </w:r>
      <w:r w:rsidR="006C507A" w:rsidRPr="006C507A">
        <w:rPr>
          <w:rFonts w:ascii="Times New Roman" w:hAnsi="Times New Roman"/>
        </w:rPr>
        <w:t xml:space="preserve"> </w:t>
      </w:r>
      <w:r w:rsidRPr="006C507A">
        <w:rPr>
          <w:rFonts w:ascii="Times New Roman" w:hAnsi="Times New Roman"/>
        </w:rPr>
        <w:t>budżetowych, tj. „nie później niż do dnia 15 października”, odnosi się również do</w:t>
      </w:r>
      <w:r w:rsidR="006C507A" w:rsidRPr="006C507A">
        <w:rPr>
          <w:rFonts w:ascii="Times New Roman" w:hAnsi="Times New Roman"/>
        </w:rPr>
        <w:t xml:space="preserve"> </w:t>
      </w:r>
      <w:r w:rsidRPr="006C507A">
        <w:rPr>
          <w:rFonts w:ascii="Times New Roman" w:hAnsi="Times New Roman"/>
        </w:rPr>
        <w:t>rezerwy celowej, za której podział odpowiedzialna jest Rada Ministrów;</w:t>
      </w:r>
    </w:p>
    <w:p w14:paraId="4E25F343" w14:textId="7DC0027C" w:rsidR="006C507A" w:rsidRPr="006C507A" w:rsidRDefault="00D82D1E" w:rsidP="006C507A">
      <w:pPr>
        <w:pStyle w:val="Akapitzlist"/>
        <w:numPr>
          <w:ilvl w:val="0"/>
          <w:numId w:val="2"/>
        </w:numPr>
        <w:spacing w:after="120" w:line="276" w:lineRule="auto"/>
        <w:ind w:left="425" w:hanging="284"/>
        <w:contextualSpacing w:val="0"/>
        <w:jc w:val="both"/>
        <w:rPr>
          <w:rFonts w:ascii="Times New Roman" w:hAnsi="Times New Roman"/>
        </w:rPr>
      </w:pPr>
      <w:r w:rsidRPr="006C507A">
        <w:rPr>
          <w:rFonts w:ascii="Times New Roman" w:hAnsi="Times New Roman"/>
        </w:rPr>
        <w:t>proponowany termin 30 września na dokonanie podziału tej rezerwy przez Radę</w:t>
      </w:r>
      <w:r w:rsidR="006C507A" w:rsidRPr="006C507A">
        <w:rPr>
          <w:rFonts w:ascii="Times New Roman" w:hAnsi="Times New Roman"/>
        </w:rPr>
        <w:t xml:space="preserve"> </w:t>
      </w:r>
      <w:r w:rsidRPr="006C507A">
        <w:rPr>
          <w:rFonts w:ascii="Times New Roman" w:hAnsi="Times New Roman"/>
        </w:rPr>
        <w:t>Ministrów umożliwi rozdysponowanie tej rezerwy decyzjami M</w:t>
      </w:r>
      <w:r w:rsidR="00D8275B">
        <w:rPr>
          <w:rFonts w:ascii="Times New Roman" w:hAnsi="Times New Roman"/>
        </w:rPr>
        <w:t xml:space="preserve">inistra </w:t>
      </w:r>
      <w:r w:rsidRPr="006C507A">
        <w:rPr>
          <w:rFonts w:ascii="Times New Roman" w:hAnsi="Times New Roman"/>
        </w:rPr>
        <w:t>F</w:t>
      </w:r>
      <w:r w:rsidR="00D8275B">
        <w:rPr>
          <w:rFonts w:ascii="Times New Roman" w:hAnsi="Times New Roman"/>
        </w:rPr>
        <w:t>inansów</w:t>
      </w:r>
      <w:r w:rsidRPr="006C507A">
        <w:rPr>
          <w:rFonts w:ascii="Times New Roman" w:hAnsi="Times New Roman"/>
        </w:rPr>
        <w:t xml:space="preserve"> do 15 października,</w:t>
      </w:r>
      <w:r w:rsidR="006C507A" w:rsidRPr="006C507A">
        <w:rPr>
          <w:rFonts w:ascii="Times New Roman" w:hAnsi="Times New Roman"/>
        </w:rPr>
        <w:t xml:space="preserve"> </w:t>
      </w:r>
      <w:r w:rsidRPr="006C507A">
        <w:rPr>
          <w:rFonts w:ascii="Times New Roman" w:hAnsi="Times New Roman"/>
        </w:rPr>
        <w:t>w tym dysponenci będą mi</w:t>
      </w:r>
      <w:r w:rsidR="00D8275B">
        <w:rPr>
          <w:rFonts w:ascii="Times New Roman" w:hAnsi="Times New Roman"/>
        </w:rPr>
        <w:t xml:space="preserve">eli możliwość złożenia wniosków </w:t>
      </w:r>
      <w:r w:rsidRPr="006C507A">
        <w:rPr>
          <w:rFonts w:ascii="Times New Roman" w:hAnsi="Times New Roman"/>
        </w:rPr>
        <w:t>10 dni przed upływem</w:t>
      </w:r>
      <w:r w:rsidR="006C507A" w:rsidRPr="006C507A">
        <w:rPr>
          <w:rFonts w:ascii="Times New Roman" w:hAnsi="Times New Roman"/>
        </w:rPr>
        <w:t xml:space="preserve"> tego terminu</w:t>
      </w:r>
      <w:r w:rsidR="00D8275B">
        <w:rPr>
          <w:rFonts w:ascii="Times New Roman" w:hAnsi="Times New Roman"/>
        </w:rPr>
        <w:t>,</w:t>
      </w:r>
      <w:r w:rsidR="006C507A" w:rsidRPr="006C507A">
        <w:rPr>
          <w:rFonts w:ascii="Times New Roman" w:hAnsi="Times New Roman"/>
        </w:rPr>
        <w:t xml:space="preserve"> </w:t>
      </w:r>
      <w:r w:rsidRPr="006C507A">
        <w:rPr>
          <w:rFonts w:ascii="Times New Roman" w:hAnsi="Times New Roman"/>
        </w:rPr>
        <w:t>zgodnie z projektowaną regulacją art. 154 ust.</w:t>
      </w:r>
      <w:r w:rsidR="00D8275B">
        <w:rPr>
          <w:rFonts w:ascii="Times New Roman" w:hAnsi="Times New Roman"/>
        </w:rPr>
        <w:t xml:space="preserve"> 8</w:t>
      </w:r>
      <w:r w:rsidRPr="006C507A">
        <w:rPr>
          <w:rFonts w:ascii="Times New Roman" w:hAnsi="Times New Roman"/>
        </w:rPr>
        <w:t>;</w:t>
      </w:r>
    </w:p>
    <w:p w14:paraId="5B71619B" w14:textId="7E9FE4B7" w:rsidR="00D82D1E" w:rsidRDefault="00D82D1E" w:rsidP="006C507A">
      <w:pPr>
        <w:pStyle w:val="Akapitzlist"/>
        <w:numPr>
          <w:ilvl w:val="0"/>
          <w:numId w:val="2"/>
        </w:numPr>
        <w:spacing w:after="120" w:line="276" w:lineRule="auto"/>
        <w:ind w:left="425" w:hanging="284"/>
        <w:contextualSpacing w:val="0"/>
        <w:jc w:val="both"/>
        <w:rPr>
          <w:rFonts w:ascii="Times New Roman" w:hAnsi="Times New Roman"/>
        </w:rPr>
      </w:pPr>
      <w:r w:rsidRPr="006C507A">
        <w:rPr>
          <w:rFonts w:ascii="Times New Roman" w:hAnsi="Times New Roman"/>
        </w:rPr>
        <w:t xml:space="preserve">określanie wysokości limitu rezerwy </w:t>
      </w:r>
      <w:r w:rsidR="00D8275B">
        <w:rPr>
          <w:rFonts w:ascii="Times New Roman" w:hAnsi="Times New Roman"/>
        </w:rPr>
        <w:t>celowej</w:t>
      </w:r>
      <w:r w:rsidRPr="006C507A">
        <w:rPr>
          <w:rFonts w:ascii="Times New Roman" w:hAnsi="Times New Roman"/>
        </w:rPr>
        <w:t xml:space="preserve"> poz. 19 </w:t>
      </w:r>
      <w:r w:rsidR="00D8275B">
        <w:rPr>
          <w:rFonts w:ascii="Times New Roman" w:hAnsi="Times New Roman"/>
        </w:rPr>
        <w:t xml:space="preserve">pn. </w:t>
      </w:r>
      <w:r w:rsidRPr="006C507A">
        <w:rPr>
          <w:rFonts w:ascii="Times New Roman" w:hAnsi="Times New Roman"/>
        </w:rPr>
        <w:t>„Rezerwa płacowa na zmiany</w:t>
      </w:r>
      <w:r w:rsidR="006C507A" w:rsidRPr="006C507A">
        <w:rPr>
          <w:rFonts w:ascii="Times New Roman" w:hAnsi="Times New Roman"/>
        </w:rPr>
        <w:t xml:space="preserve"> </w:t>
      </w:r>
      <w:r w:rsidRPr="006C507A">
        <w:rPr>
          <w:rFonts w:ascii="Times New Roman" w:hAnsi="Times New Roman"/>
        </w:rPr>
        <w:t>organizacyjne i nowe zadania (w tym na skutki przechodzące)” w zakresie skutków</w:t>
      </w:r>
      <w:r w:rsidR="006C507A" w:rsidRPr="006C507A">
        <w:rPr>
          <w:rFonts w:ascii="Times New Roman" w:hAnsi="Times New Roman"/>
        </w:rPr>
        <w:t xml:space="preserve"> </w:t>
      </w:r>
      <w:r w:rsidRPr="006C507A">
        <w:rPr>
          <w:rFonts w:ascii="Times New Roman" w:hAnsi="Times New Roman"/>
        </w:rPr>
        <w:t>przechodzących roku bieżącego na rok następny. Zaproponowany termin podziału do</w:t>
      </w:r>
      <w:r w:rsidR="00D8275B">
        <w:rPr>
          <w:rFonts w:ascii="Times New Roman" w:hAnsi="Times New Roman"/>
        </w:rPr>
        <w:t xml:space="preserve"> 30 </w:t>
      </w:r>
      <w:r w:rsidRPr="006C507A">
        <w:rPr>
          <w:rFonts w:ascii="Times New Roman" w:hAnsi="Times New Roman"/>
        </w:rPr>
        <w:t>września zwięk</w:t>
      </w:r>
      <w:r w:rsidR="00D8275B">
        <w:rPr>
          <w:rFonts w:ascii="Times New Roman" w:hAnsi="Times New Roman"/>
        </w:rPr>
        <w:t xml:space="preserve">szy możliwość dokładniejszego </w:t>
      </w:r>
      <w:r w:rsidRPr="006C507A">
        <w:rPr>
          <w:rFonts w:ascii="Times New Roman" w:hAnsi="Times New Roman"/>
        </w:rPr>
        <w:t>prognozowania wysokości</w:t>
      </w:r>
      <w:r w:rsidR="006C507A" w:rsidRPr="006C507A">
        <w:rPr>
          <w:rFonts w:ascii="Times New Roman" w:hAnsi="Times New Roman"/>
        </w:rPr>
        <w:t xml:space="preserve"> </w:t>
      </w:r>
      <w:r w:rsidRPr="006C507A">
        <w:rPr>
          <w:rFonts w:ascii="Times New Roman" w:hAnsi="Times New Roman"/>
        </w:rPr>
        <w:t>skutków przechodzących na kolejne lata.</w:t>
      </w:r>
    </w:p>
    <w:p w14:paraId="45D9D536" w14:textId="77777777" w:rsidR="0066073A" w:rsidRDefault="0066073A" w:rsidP="0066073A">
      <w:pPr>
        <w:spacing w:after="120" w:line="276" w:lineRule="auto"/>
        <w:jc w:val="both"/>
        <w:rPr>
          <w:rFonts w:ascii="Times New Roman" w:hAnsi="Times New Roman"/>
        </w:rPr>
      </w:pPr>
    </w:p>
    <w:p w14:paraId="445E91B7" w14:textId="77777777" w:rsidR="0066073A" w:rsidRPr="0066073A" w:rsidRDefault="0066073A" w:rsidP="0066073A">
      <w:pPr>
        <w:spacing w:after="120" w:line="276" w:lineRule="auto"/>
        <w:jc w:val="both"/>
        <w:rPr>
          <w:rFonts w:ascii="Times New Roman" w:hAnsi="Times New Roman"/>
        </w:rPr>
      </w:pPr>
    </w:p>
    <w:p w14:paraId="44BEA59B" w14:textId="77777777" w:rsidR="00CB4517" w:rsidRPr="008E5FB3" w:rsidRDefault="00CB4517" w:rsidP="00C90852">
      <w:pPr>
        <w:spacing w:line="276" w:lineRule="auto"/>
        <w:jc w:val="both"/>
        <w:rPr>
          <w:rFonts w:ascii="Times New Roman" w:hAnsi="Times New Roman"/>
        </w:rPr>
      </w:pPr>
    </w:p>
    <w:p w14:paraId="60E3F590" w14:textId="0D4301DF"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lastRenderedPageBreak/>
        <w:t>uchylenie art. 156</w:t>
      </w:r>
    </w:p>
    <w:p w14:paraId="24506F61" w14:textId="77777777" w:rsidR="00CB4517" w:rsidRPr="008E5FB3" w:rsidRDefault="00CB4517" w:rsidP="00C90852">
      <w:pPr>
        <w:spacing w:line="276" w:lineRule="auto"/>
        <w:jc w:val="both"/>
        <w:rPr>
          <w:rFonts w:ascii="Times New Roman" w:eastAsiaTheme="minorHAnsi" w:hAnsi="Times New Roman"/>
        </w:rPr>
      </w:pPr>
    </w:p>
    <w:p w14:paraId="3CCD9C74" w14:textId="59149B74" w:rsidR="00CB4517" w:rsidRPr="008E5FB3" w:rsidRDefault="00157E81" w:rsidP="00C90852">
      <w:pPr>
        <w:spacing w:line="276" w:lineRule="auto"/>
        <w:jc w:val="both"/>
        <w:rPr>
          <w:rFonts w:ascii="Times New Roman" w:hAnsi="Times New Roman"/>
        </w:rPr>
      </w:pPr>
      <w:r>
        <w:rPr>
          <w:rFonts w:ascii="Times New Roman" w:hAnsi="Times New Roman"/>
        </w:rPr>
        <w:t>Uchylenie</w:t>
      </w:r>
      <w:r w:rsidR="00CB4517" w:rsidRPr="008E5FB3">
        <w:rPr>
          <w:rFonts w:ascii="Times New Roman" w:hAnsi="Times New Roman"/>
        </w:rPr>
        <w:t xml:space="preserve"> tego przepisu ma na celu odbiurokratyzowanie czynności wykonywanych przez wojewodów w zakresie informowania Ministra Finansów o dokonanym podziale rezerwy, </w:t>
      </w:r>
      <w:r w:rsidR="00CB4517" w:rsidRPr="008E5FB3">
        <w:rPr>
          <w:rFonts w:ascii="Times New Roman" w:hAnsi="Times New Roman"/>
        </w:rPr>
        <w:br/>
        <w:t xml:space="preserve">o której mowa w art. 140 ust. 4 ustawy. Informacje w tym zakresie </w:t>
      </w:r>
      <w:r w:rsidR="00414024">
        <w:rPr>
          <w:rFonts w:ascii="Times New Roman" w:hAnsi="Times New Roman"/>
        </w:rPr>
        <w:t xml:space="preserve">mogą zostać </w:t>
      </w:r>
      <w:r w:rsidR="00414024" w:rsidRPr="008E5FB3">
        <w:rPr>
          <w:rFonts w:ascii="Times New Roman" w:hAnsi="Times New Roman"/>
        </w:rPr>
        <w:t>pozysk</w:t>
      </w:r>
      <w:r w:rsidR="00414024">
        <w:rPr>
          <w:rFonts w:ascii="Times New Roman" w:hAnsi="Times New Roman"/>
        </w:rPr>
        <w:t xml:space="preserve">ane </w:t>
      </w:r>
      <w:r w:rsidR="00CB4517" w:rsidRPr="008E5FB3">
        <w:rPr>
          <w:rFonts w:ascii="Times New Roman" w:hAnsi="Times New Roman"/>
        </w:rPr>
        <w:t>za pośrednictwem systemu Trezor</w:t>
      </w:r>
      <w:r w:rsidR="000A3AF5">
        <w:rPr>
          <w:rFonts w:ascii="Times New Roman" w:hAnsi="Times New Roman"/>
        </w:rPr>
        <w:t xml:space="preserve"> -</w:t>
      </w:r>
      <w:r w:rsidR="00414024">
        <w:rPr>
          <w:rFonts w:ascii="Times New Roman" w:hAnsi="Times New Roman"/>
        </w:rPr>
        <w:t xml:space="preserve"> bez potrzeby utrzymywania </w:t>
      </w:r>
      <w:r w:rsidR="000A3AF5">
        <w:rPr>
          <w:rFonts w:ascii="Times New Roman" w:hAnsi="Times New Roman"/>
        </w:rPr>
        <w:t xml:space="preserve">ustawowo określonego </w:t>
      </w:r>
      <w:r w:rsidR="00414024">
        <w:rPr>
          <w:rFonts w:ascii="Times New Roman" w:hAnsi="Times New Roman"/>
        </w:rPr>
        <w:t>obowiązku zawiadamiania Ministra Finansów przez wojewodów o tym fakcie.</w:t>
      </w:r>
    </w:p>
    <w:p w14:paraId="36F7DB2B" w14:textId="77777777" w:rsidR="00CB4517" w:rsidRPr="008E5FB3" w:rsidRDefault="00CB4517" w:rsidP="00C90852">
      <w:pPr>
        <w:spacing w:line="276" w:lineRule="auto"/>
        <w:jc w:val="both"/>
        <w:rPr>
          <w:rFonts w:ascii="Times New Roman" w:eastAsia="Calibri" w:hAnsi="Times New Roman"/>
          <w:i/>
        </w:rPr>
      </w:pPr>
    </w:p>
    <w:p w14:paraId="5D9FCFF8" w14:textId="2563F361" w:rsidR="00CB4517" w:rsidRPr="008E5FB3" w:rsidRDefault="00CB4517" w:rsidP="00C90852">
      <w:pPr>
        <w:spacing w:line="276" w:lineRule="auto"/>
        <w:jc w:val="both"/>
        <w:rPr>
          <w:rFonts w:ascii="Times New Roman" w:eastAsia="Calibri" w:hAnsi="Times New Roman"/>
          <w:b/>
          <w:i/>
        </w:rPr>
      </w:pPr>
      <w:r w:rsidRPr="008E5FB3">
        <w:rPr>
          <w:rFonts w:ascii="Times New Roman" w:eastAsia="Calibri" w:hAnsi="Times New Roman"/>
          <w:b/>
          <w:i/>
        </w:rPr>
        <w:t>zmiana w art. 165</w:t>
      </w:r>
      <w:r w:rsidR="003D31A6">
        <w:rPr>
          <w:rFonts w:ascii="Times New Roman" w:eastAsia="Calibri" w:hAnsi="Times New Roman"/>
          <w:b/>
          <w:i/>
        </w:rPr>
        <w:t>, uchylenie ust. 2</w:t>
      </w:r>
    </w:p>
    <w:p w14:paraId="56FA44A5" w14:textId="77777777" w:rsidR="00CB4517" w:rsidRPr="008E5FB3" w:rsidRDefault="00CB4517" w:rsidP="00C90852">
      <w:pPr>
        <w:spacing w:line="276" w:lineRule="auto"/>
        <w:jc w:val="both"/>
        <w:rPr>
          <w:rFonts w:ascii="Times New Roman" w:eastAsia="Calibri" w:hAnsi="Times New Roman"/>
          <w:b/>
          <w:i/>
        </w:rPr>
      </w:pPr>
    </w:p>
    <w:p w14:paraId="5A2848D4" w14:textId="77777777" w:rsidR="00CB4517" w:rsidRPr="008E5FB3" w:rsidRDefault="00CB4517" w:rsidP="00C90852">
      <w:pPr>
        <w:spacing w:line="276" w:lineRule="auto"/>
        <w:jc w:val="both"/>
        <w:rPr>
          <w:rFonts w:ascii="Times New Roman" w:hAnsi="Times New Roman"/>
        </w:rPr>
      </w:pPr>
      <w:r w:rsidRPr="008E5FB3">
        <w:rPr>
          <w:rFonts w:ascii="Times New Roman" w:hAnsi="Times New Roman"/>
        </w:rPr>
        <w:t>Proponowana zmiana polegająca na uchyleniu ust. 2 wiąże się z tym, że przepis nie jest realizowany (nie znajduje zastosowania), ponieważ istnieje wyłącznie jedna część budżetowa, w której ujmuje się zarówno obsługę długu zagranicznego Skarbu Państwa i obsługę długu krajowego Skarbu Państwa.</w:t>
      </w:r>
    </w:p>
    <w:p w14:paraId="567ED384" w14:textId="77777777" w:rsidR="00CB4517" w:rsidRPr="008E5FB3" w:rsidRDefault="00CB4517" w:rsidP="00C90852">
      <w:pPr>
        <w:spacing w:line="276" w:lineRule="auto"/>
        <w:jc w:val="both"/>
        <w:rPr>
          <w:rFonts w:ascii="Times New Roman" w:eastAsia="Calibri" w:hAnsi="Times New Roman"/>
          <w:b/>
          <w:i/>
        </w:rPr>
      </w:pPr>
    </w:p>
    <w:p w14:paraId="490F4558" w14:textId="4F8E20C5" w:rsidR="00CB4517" w:rsidRDefault="00CB4517" w:rsidP="00C90852">
      <w:pPr>
        <w:spacing w:line="276" w:lineRule="auto"/>
        <w:jc w:val="both"/>
        <w:rPr>
          <w:rFonts w:ascii="Times New Roman" w:eastAsia="Calibri" w:hAnsi="Times New Roman"/>
          <w:b/>
          <w:i/>
        </w:rPr>
      </w:pPr>
      <w:r w:rsidRPr="008E5FB3">
        <w:rPr>
          <w:rFonts w:ascii="Times New Roman" w:eastAsia="Calibri" w:hAnsi="Times New Roman"/>
          <w:b/>
          <w:i/>
        </w:rPr>
        <w:t>zmian</w:t>
      </w:r>
      <w:r w:rsidR="003D31A6">
        <w:rPr>
          <w:rFonts w:ascii="Times New Roman" w:eastAsia="Calibri" w:hAnsi="Times New Roman"/>
          <w:b/>
          <w:i/>
        </w:rPr>
        <w:t>a</w:t>
      </w:r>
      <w:r w:rsidRPr="008E5FB3">
        <w:rPr>
          <w:rFonts w:ascii="Times New Roman" w:eastAsia="Calibri" w:hAnsi="Times New Roman"/>
          <w:b/>
          <w:i/>
        </w:rPr>
        <w:t xml:space="preserve"> w art. 167 </w:t>
      </w:r>
      <w:r w:rsidR="003D31A6">
        <w:rPr>
          <w:rFonts w:ascii="Times New Roman" w:eastAsia="Calibri" w:hAnsi="Times New Roman"/>
          <w:b/>
          <w:i/>
        </w:rPr>
        <w:t>ust. 1</w:t>
      </w:r>
    </w:p>
    <w:p w14:paraId="1A8BFD29" w14:textId="77777777" w:rsidR="00670E65" w:rsidRPr="008E5FB3" w:rsidRDefault="00670E65" w:rsidP="00C90852">
      <w:pPr>
        <w:spacing w:line="276" w:lineRule="auto"/>
        <w:jc w:val="both"/>
        <w:rPr>
          <w:rFonts w:ascii="Times New Roman" w:eastAsia="Calibri" w:hAnsi="Times New Roman"/>
          <w:b/>
          <w:i/>
        </w:rPr>
      </w:pPr>
    </w:p>
    <w:p w14:paraId="69E42825" w14:textId="3EFF8BAF" w:rsidR="00CB4517" w:rsidRPr="008E5FB3" w:rsidRDefault="00CB4517" w:rsidP="00C90852">
      <w:pPr>
        <w:spacing w:line="276" w:lineRule="auto"/>
        <w:jc w:val="both"/>
        <w:rPr>
          <w:rFonts w:ascii="Times New Roman" w:hAnsi="Times New Roman"/>
        </w:rPr>
      </w:pPr>
      <w:r w:rsidRPr="008E5FB3">
        <w:rPr>
          <w:rFonts w:ascii="Times New Roman" w:hAnsi="Times New Roman"/>
        </w:rPr>
        <w:t xml:space="preserve">Zmiana dotyczy ust. 1 i polega na uelastycznieniu procesu dokonywania wpłat środków własnych Unii Europejskiej do jej budżetu. Należy zauważyć, iż procedowanie </w:t>
      </w:r>
      <w:r w:rsidR="000A3AF5" w:rsidRPr="008E5FB3">
        <w:rPr>
          <w:rFonts w:ascii="Times New Roman" w:hAnsi="Times New Roman"/>
        </w:rPr>
        <w:t>budżet</w:t>
      </w:r>
      <w:r w:rsidR="000A3AF5">
        <w:rPr>
          <w:rFonts w:ascii="Times New Roman" w:hAnsi="Times New Roman"/>
        </w:rPr>
        <w:t>u</w:t>
      </w:r>
      <w:r w:rsidR="000A3AF5" w:rsidRPr="008E5FB3">
        <w:rPr>
          <w:rFonts w:ascii="Times New Roman" w:hAnsi="Times New Roman"/>
        </w:rPr>
        <w:t xml:space="preserve"> </w:t>
      </w:r>
      <w:r w:rsidRPr="008E5FB3">
        <w:rPr>
          <w:rFonts w:ascii="Times New Roman" w:hAnsi="Times New Roman"/>
        </w:rPr>
        <w:t xml:space="preserve">UE jak i </w:t>
      </w:r>
      <w:r w:rsidR="000A3AF5" w:rsidRPr="008E5FB3">
        <w:rPr>
          <w:rFonts w:ascii="Times New Roman" w:hAnsi="Times New Roman"/>
        </w:rPr>
        <w:t>krajow</w:t>
      </w:r>
      <w:r w:rsidR="000A3AF5">
        <w:rPr>
          <w:rFonts w:ascii="Times New Roman" w:hAnsi="Times New Roman"/>
        </w:rPr>
        <w:t>ego</w:t>
      </w:r>
      <w:r w:rsidR="000A3AF5" w:rsidRPr="008E5FB3">
        <w:rPr>
          <w:rFonts w:ascii="Times New Roman" w:hAnsi="Times New Roman"/>
        </w:rPr>
        <w:t xml:space="preserve"> </w:t>
      </w:r>
      <w:r w:rsidRPr="008E5FB3">
        <w:rPr>
          <w:rFonts w:ascii="Times New Roman" w:hAnsi="Times New Roman"/>
        </w:rPr>
        <w:t xml:space="preserve">prowadzone jest równolegle, a wielkość środków własnych, które UE ustali ostatecznie na końcowym etapie tego procesu, podlega częstej korekcie. Dlatego też, zasadne jest urealnienie tej kwoty, przy jednoczesnym zapewnieniu pełnej realizacji wynikających </w:t>
      </w:r>
      <w:r w:rsidRPr="008E5FB3">
        <w:rPr>
          <w:rFonts w:ascii="Times New Roman" w:hAnsi="Times New Roman"/>
        </w:rPr>
        <w:br/>
        <w:t>z umowy międzynarodowej zobowiązań.</w:t>
      </w:r>
    </w:p>
    <w:p w14:paraId="70E4F1D9" w14:textId="77777777" w:rsidR="00CB4517" w:rsidRDefault="00CB4517" w:rsidP="00C90852">
      <w:pPr>
        <w:spacing w:line="276" w:lineRule="auto"/>
        <w:jc w:val="both"/>
        <w:rPr>
          <w:rFonts w:ascii="Times New Roman" w:eastAsia="Calibri" w:hAnsi="Times New Roman"/>
          <w:b/>
          <w:i/>
        </w:rPr>
      </w:pPr>
    </w:p>
    <w:p w14:paraId="1C7BE1C0" w14:textId="5BEE59DB" w:rsidR="002C3685" w:rsidRDefault="002C3685" w:rsidP="00C90852">
      <w:pPr>
        <w:spacing w:line="276" w:lineRule="auto"/>
        <w:jc w:val="both"/>
        <w:rPr>
          <w:rFonts w:ascii="Times New Roman" w:eastAsia="Calibri" w:hAnsi="Times New Roman"/>
          <w:b/>
          <w:i/>
        </w:rPr>
      </w:pPr>
      <w:r w:rsidRPr="002C3685">
        <w:rPr>
          <w:rFonts w:ascii="Times New Roman" w:eastAsia="Calibri" w:hAnsi="Times New Roman"/>
          <w:b/>
          <w:i/>
        </w:rPr>
        <w:t>zmiana w art. 167a ust. 3 pkt 2</w:t>
      </w:r>
    </w:p>
    <w:p w14:paraId="61FA1394" w14:textId="77777777" w:rsidR="002C3685" w:rsidRDefault="002C3685" w:rsidP="00C90852">
      <w:pPr>
        <w:spacing w:line="276" w:lineRule="auto"/>
        <w:jc w:val="both"/>
        <w:rPr>
          <w:rFonts w:ascii="Times New Roman" w:eastAsia="Calibri" w:hAnsi="Times New Roman"/>
          <w:b/>
          <w:i/>
        </w:rPr>
      </w:pPr>
    </w:p>
    <w:p w14:paraId="51CDF99E" w14:textId="627FF4FA" w:rsidR="002C3685" w:rsidRDefault="002C3685" w:rsidP="00C90852">
      <w:pPr>
        <w:spacing w:line="276" w:lineRule="auto"/>
        <w:jc w:val="both"/>
        <w:rPr>
          <w:rFonts w:ascii="Times New Roman" w:eastAsia="Calibri" w:hAnsi="Times New Roman"/>
        </w:rPr>
      </w:pPr>
      <w:r>
        <w:rPr>
          <w:rFonts w:ascii="Times New Roman" w:eastAsia="Calibri" w:hAnsi="Times New Roman"/>
        </w:rPr>
        <w:t>Zaproponowana zmiana dotyczy dostosowania brzmienia przedmiotowego przepisu do zmian wprowadzonych w art. 154.</w:t>
      </w:r>
    </w:p>
    <w:p w14:paraId="4667D0EE" w14:textId="77777777" w:rsidR="002C3685" w:rsidRPr="00670E65" w:rsidRDefault="002C3685" w:rsidP="00C90852">
      <w:pPr>
        <w:spacing w:line="276" w:lineRule="auto"/>
        <w:jc w:val="both"/>
        <w:rPr>
          <w:rFonts w:ascii="Times New Roman" w:eastAsia="Calibri" w:hAnsi="Times New Roman"/>
        </w:rPr>
      </w:pPr>
    </w:p>
    <w:p w14:paraId="1A1F0CF1" w14:textId="6C9E8692" w:rsidR="00CB4517" w:rsidRPr="008E5FB3" w:rsidRDefault="00CB4517" w:rsidP="00C90852">
      <w:pPr>
        <w:spacing w:line="276" w:lineRule="auto"/>
        <w:jc w:val="both"/>
        <w:rPr>
          <w:rFonts w:ascii="Times New Roman" w:eastAsia="Calibri" w:hAnsi="Times New Roman"/>
          <w:b/>
          <w:i/>
        </w:rPr>
      </w:pPr>
      <w:r w:rsidRPr="008E5FB3">
        <w:rPr>
          <w:rFonts w:ascii="Times New Roman" w:eastAsia="Calibri" w:hAnsi="Times New Roman"/>
          <w:b/>
          <w:i/>
        </w:rPr>
        <w:t>zmian</w:t>
      </w:r>
      <w:r w:rsidR="003D31A6">
        <w:rPr>
          <w:rFonts w:ascii="Times New Roman" w:eastAsia="Calibri" w:hAnsi="Times New Roman"/>
          <w:b/>
          <w:i/>
        </w:rPr>
        <w:t>a</w:t>
      </w:r>
      <w:r w:rsidRPr="008E5FB3">
        <w:rPr>
          <w:rFonts w:ascii="Times New Roman" w:eastAsia="Calibri" w:hAnsi="Times New Roman"/>
          <w:b/>
          <w:i/>
        </w:rPr>
        <w:t xml:space="preserve"> w art. 168</w:t>
      </w:r>
      <w:r w:rsidR="003D31A6">
        <w:rPr>
          <w:rFonts w:ascii="Times New Roman" w:eastAsia="Calibri" w:hAnsi="Times New Roman"/>
          <w:b/>
          <w:i/>
        </w:rPr>
        <w:t xml:space="preserve"> ust. 1 </w:t>
      </w:r>
    </w:p>
    <w:p w14:paraId="34403DD0" w14:textId="77777777" w:rsidR="00CB4517" w:rsidRPr="008E5FB3" w:rsidRDefault="00CB4517" w:rsidP="00C90852">
      <w:pPr>
        <w:spacing w:line="276" w:lineRule="auto"/>
        <w:jc w:val="both"/>
        <w:rPr>
          <w:rFonts w:ascii="Times New Roman" w:eastAsia="Calibri" w:hAnsi="Times New Roman"/>
          <w:b/>
          <w:i/>
        </w:rPr>
      </w:pPr>
    </w:p>
    <w:p w14:paraId="1F966BEF" w14:textId="2C86ED1F" w:rsidR="00414024" w:rsidRDefault="00CB4517" w:rsidP="00C90852">
      <w:pPr>
        <w:spacing w:line="276" w:lineRule="auto"/>
        <w:jc w:val="both"/>
        <w:rPr>
          <w:rFonts w:ascii="Times New Roman" w:eastAsia="Calibri" w:hAnsi="Times New Roman"/>
        </w:rPr>
      </w:pPr>
      <w:r w:rsidRPr="008E5FB3">
        <w:rPr>
          <w:rFonts w:ascii="Times New Roman" w:eastAsia="Calibri" w:hAnsi="Times New Roman"/>
        </w:rPr>
        <w:t>Projektowana zmiana w ust. 1 – przepisu co do zasady regulującego terminy zwrotu kwot dotacji niewykorzystanych w przypadkach, w których dotacja przekazywana jest beneficjentom bez zawarcia umów, o których mowa w art. 150 i art. 151, polega na dodaniu zastrzeżenia stosowania art. 150 pkt 5 w odniesieniu do zwrotu dotacji udzielonych z budżetu państwa w części dotacji niewykorzystanej do końca roku budżetowego lub w terminie określonym w rozporządzeniu wydanym na podstawie art. 181 ust. 3. Zmieniany przepis wymaga uzupełnienia, ponieważ art. 151 ust. 2 pkt 6 stanowi regulację analogiczną do art. 150 pkt 5 i określa indywidualnie termin zwrotu kwot dotacji niewykorzystanych.</w:t>
      </w:r>
    </w:p>
    <w:p w14:paraId="764BB9E0" w14:textId="77777777" w:rsidR="00CB4517" w:rsidRPr="008E5FB3" w:rsidRDefault="00CB4517" w:rsidP="00C90852">
      <w:pPr>
        <w:spacing w:line="276" w:lineRule="auto"/>
        <w:jc w:val="both"/>
        <w:rPr>
          <w:rFonts w:ascii="Times New Roman" w:eastAsia="Calibri" w:hAnsi="Times New Roman"/>
          <w:b/>
          <w:i/>
        </w:rPr>
      </w:pPr>
    </w:p>
    <w:p w14:paraId="5226C228" w14:textId="48263FDF" w:rsidR="00CB4517" w:rsidRPr="008E5FB3" w:rsidRDefault="00CB4517" w:rsidP="00C90852">
      <w:pPr>
        <w:spacing w:line="276" w:lineRule="auto"/>
        <w:jc w:val="both"/>
        <w:rPr>
          <w:rFonts w:ascii="Times New Roman" w:eastAsia="Calibri" w:hAnsi="Times New Roman"/>
          <w:b/>
          <w:i/>
        </w:rPr>
      </w:pPr>
      <w:r w:rsidRPr="008E5FB3">
        <w:rPr>
          <w:rFonts w:ascii="Times New Roman" w:eastAsia="Calibri" w:hAnsi="Times New Roman"/>
          <w:b/>
          <w:i/>
        </w:rPr>
        <w:t>zmian</w:t>
      </w:r>
      <w:r w:rsidR="003D31A6">
        <w:rPr>
          <w:rFonts w:ascii="Times New Roman" w:eastAsia="Calibri" w:hAnsi="Times New Roman"/>
          <w:b/>
          <w:i/>
        </w:rPr>
        <w:t>a</w:t>
      </w:r>
      <w:r w:rsidRPr="008E5FB3">
        <w:rPr>
          <w:rFonts w:ascii="Times New Roman" w:eastAsia="Calibri" w:hAnsi="Times New Roman"/>
          <w:b/>
          <w:i/>
        </w:rPr>
        <w:t xml:space="preserve"> w art. 169 </w:t>
      </w:r>
      <w:r w:rsidR="003D31A6">
        <w:rPr>
          <w:rFonts w:ascii="Times New Roman" w:eastAsia="Calibri" w:hAnsi="Times New Roman"/>
          <w:b/>
          <w:i/>
        </w:rPr>
        <w:t>ust. 2</w:t>
      </w:r>
      <w:r w:rsidR="0090313B">
        <w:rPr>
          <w:rFonts w:ascii="Times New Roman" w:eastAsia="Calibri" w:hAnsi="Times New Roman"/>
          <w:b/>
          <w:i/>
        </w:rPr>
        <w:t>,</w:t>
      </w:r>
      <w:r w:rsidR="003D31A6">
        <w:rPr>
          <w:rFonts w:ascii="Times New Roman" w:eastAsia="Calibri" w:hAnsi="Times New Roman"/>
          <w:b/>
          <w:i/>
        </w:rPr>
        <w:t xml:space="preserve"> 5</w:t>
      </w:r>
      <w:r w:rsidR="0090313B">
        <w:rPr>
          <w:rFonts w:ascii="Times New Roman" w:eastAsia="Calibri" w:hAnsi="Times New Roman"/>
          <w:b/>
          <w:i/>
        </w:rPr>
        <w:t xml:space="preserve"> i 6</w:t>
      </w:r>
    </w:p>
    <w:p w14:paraId="33F35512" w14:textId="77777777" w:rsidR="00CB4517" w:rsidRPr="008E5FB3" w:rsidRDefault="00CB4517" w:rsidP="00C90852">
      <w:pPr>
        <w:spacing w:line="276" w:lineRule="auto"/>
        <w:jc w:val="both"/>
        <w:rPr>
          <w:rFonts w:ascii="Times New Roman" w:eastAsia="Calibri" w:hAnsi="Times New Roman"/>
          <w:b/>
          <w:i/>
        </w:rPr>
      </w:pPr>
    </w:p>
    <w:p w14:paraId="19135388" w14:textId="3B8AB448" w:rsidR="00CB4517" w:rsidRDefault="00CB4517" w:rsidP="00C90852">
      <w:pPr>
        <w:spacing w:line="276" w:lineRule="auto"/>
        <w:jc w:val="both"/>
        <w:rPr>
          <w:rFonts w:ascii="Times New Roman" w:hAnsi="Times New Roman"/>
        </w:rPr>
      </w:pPr>
      <w:r w:rsidRPr="008E5FB3">
        <w:rPr>
          <w:rFonts w:ascii="Times New Roman" w:hAnsi="Times New Roman"/>
        </w:rPr>
        <w:t>W art. 169 ust. 2 doprecyzowan</w:t>
      </w:r>
      <w:r w:rsidR="0090313B">
        <w:rPr>
          <w:rFonts w:ascii="Times New Roman" w:hAnsi="Times New Roman"/>
        </w:rPr>
        <w:t>o</w:t>
      </w:r>
      <w:r w:rsidRPr="008E5FB3">
        <w:rPr>
          <w:rFonts w:ascii="Times New Roman" w:hAnsi="Times New Roman"/>
        </w:rPr>
        <w:t xml:space="preserve"> w jakim przypadku dotacje pobrane z budżetu państwa należy uznać za dotacje pobrane w nadmiernej wysokości.</w:t>
      </w:r>
    </w:p>
    <w:p w14:paraId="25CFED8B" w14:textId="77777777" w:rsidR="005C1559" w:rsidRPr="008E5FB3" w:rsidRDefault="005C1559" w:rsidP="00C90852">
      <w:pPr>
        <w:spacing w:line="276" w:lineRule="auto"/>
        <w:jc w:val="both"/>
        <w:rPr>
          <w:rFonts w:ascii="Times New Roman" w:hAnsi="Times New Roman"/>
        </w:rPr>
      </w:pPr>
    </w:p>
    <w:p w14:paraId="38BD4366" w14:textId="2CFDDB3D" w:rsidR="0090313B" w:rsidRPr="003B3C60" w:rsidRDefault="00CB4517" w:rsidP="00C90852">
      <w:pPr>
        <w:spacing w:line="276" w:lineRule="auto"/>
        <w:jc w:val="both"/>
        <w:rPr>
          <w:rFonts w:ascii="Times New Roman" w:hAnsi="Times New Roman"/>
          <w:b/>
        </w:rPr>
      </w:pPr>
      <w:r w:rsidRPr="008E5FB3">
        <w:rPr>
          <w:rFonts w:ascii="Times New Roman" w:hAnsi="Times New Roman"/>
        </w:rPr>
        <w:t>Ponadto zmiana przepisu dotyczy brzmienia wprowadzenia do wyliczenia w ust. 5. Polega na wyeliminowaniu wątpliwości w zakresie terminu, od którego nalicza się odsetki, w przypadku braku zwrotu dotacji przyznawanych z budżetu państwa. Wskazano, że odsetki będą naliczane począwszy od dnia następującego po terminie przekazania z budżetu państwa dotacji wykorzystanych niezgodnie z przeznaczeniem lub stwierdzenia nieprawidłowego naliczenia lub nienależnego pobrania dotacji</w:t>
      </w:r>
      <w:r w:rsidRPr="008E5FB3">
        <w:rPr>
          <w:rFonts w:ascii="Times New Roman" w:hAnsi="Times New Roman"/>
          <w:b/>
        </w:rPr>
        <w:t>.</w:t>
      </w:r>
      <w:r w:rsidR="003B3C60">
        <w:rPr>
          <w:rFonts w:ascii="Times New Roman" w:hAnsi="Times New Roman"/>
          <w:b/>
        </w:rPr>
        <w:t xml:space="preserve"> </w:t>
      </w:r>
      <w:r w:rsidR="0090313B" w:rsidRPr="003B3C60">
        <w:rPr>
          <w:rFonts w:ascii="Times New Roman" w:hAnsi="Times New Roman"/>
        </w:rPr>
        <w:t>W ust.</w:t>
      </w:r>
      <w:r w:rsidR="0090313B" w:rsidRPr="0090313B">
        <w:rPr>
          <w:rFonts w:ascii="Times New Roman" w:hAnsi="Times New Roman"/>
        </w:rPr>
        <w:t xml:space="preserve"> 6 zaprop</w:t>
      </w:r>
      <w:r w:rsidR="0090313B">
        <w:rPr>
          <w:rFonts w:ascii="Times New Roman" w:hAnsi="Times New Roman"/>
        </w:rPr>
        <w:t>o</w:t>
      </w:r>
      <w:r w:rsidR="0090313B" w:rsidRPr="0090313B">
        <w:rPr>
          <w:rFonts w:ascii="Times New Roman" w:hAnsi="Times New Roman"/>
        </w:rPr>
        <w:t>nowano zmian</w:t>
      </w:r>
      <w:r w:rsidR="0090313B">
        <w:rPr>
          <w:rFonts w:ascii="Times New Roman" w:hAnsi="Times New Roman"/>
        </w:rPr>
        <w:t>ę doprecyzowującą brzmienie przepisu do zmian wprowadzanych niniejszą ustawą w art. 150.</w:t>
      </w:r>
    </w:p>
    <w:p w14:paraId="415056C1" w14:textId="77777777" w:rsidR="00CB4517" w:rsidRPr="008E5FB3" w:rsidRDefault="00CB4517" w:rsidP="00C90852">
      <w:pPr>
        <w:spacing w:line="276" w:lineRule="auto"/>
        <w:jc w:val="both"/>
        <w:rPr>
          <w:rFonts w:ascii="Times New Roman" w:hAnsi="Times New Roman"/>
          <w:b/>
        </w:rPr>
      </w:pPr>
    </w:p>
    <w:p w14:paraId="421D108A" w14:textId="468F3E8E"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t xml:space="preserve">zmiana w art. 170 </w:t>
      </w:r>
      <w:r w:rsidR="00C35BDC">
        <w:rPr>
          <w:rFonts w:ascii="Times New Roman" w:hAnsi="Times New Roman"/>
          <w:b/>
          <w:i/>
        </w:rPr>
        <w:t>ust. 1</w:t>
      </w:r>
    </w:p>
    <w:p w14:paraId="1D19E392" w14:textId="77777777" w:rsidR="000A3AF5" w:rsidRDefault="000A3AF5" w:rsidP="00C90852">
      <w:pPr>
        <w:spacing w:line="276" w:lineRule="auto"/>
        <w:jc w:val="both"/>
        <w:rPr>
          <w:rFonts w:ascii="Times New Roman" w:hAnsi="Times New Roman"/>
        </w:rPr>
      </w:pPr>
    </w:p>
    <w:p w14:paraId="46E3C02F" w14:textId="6ECA9C18" w:rsidR="000A3AF5" w:rsidRPr="000A3AF5" w:rsidRDefault="000A3AF5" w:rsidP="000A3AF5">
      <w:pPr>
        <w:spacing w:line="276" w:lineRule="auto"/>
        <w:jc w:val="both"/>
        <w:rPr>
          <w:rFonts w:ascii="Times New Roman" w:hAnsi="Times New Roman"/>
        </w:rPr>
      </w:pPr>
      <w:r w:rsidRPr="000A3AF5">
        <w:rPr>
          <w:rFonts w:ascii="Times New Roman" w:hAnsi="Times New Roman"/>
        </w:rPr>
        <w:t>Zgodnie z nowym brzmieniem przepisu zmiany kwot dotacji celowych na zadania z zakresu administracji rządowej oraz inne zadania zlecone odrębnymi ustawami jednostkom samorządu terytorialnego mogą</w:t>
      </w:r>
      <w:r w:rsidR="00C2770D">
        <w:rPr>
          <w:rFonts w:ascii="Times New Roman" w:hAnsi="Times New Roman"/>
        </w:rPr>
        <w:t xml:space="preserve"> następować do końca</w:t>
      </w:r>
      <w:r w:rsidRPr="000A3AF5">
        <w:rPr>
          <w:rFonts w:ascii="Times New Roman" w:hAnsi="Times New Roman"/>
        </w:rPr>
        <w:t xml:space="preserve"> roku budżetowego. Zmiany kwot dotacji na dofinansowanie zadań własnych jednostek samorządu terytorialnego </w:t>
      </w:r>
      <w:r w:rsidR="00A33B42">
        <w:rPr>
          <w:rFonts w:ascii="Times New Roman" w:hAnsi="Times New Roman"/>
        </w:rPr>
        <w:t xml:space="preserve">mogą następować zaś </w:t>
      </w:r>
      <w:r w:rsidR="00C2770D">
        <w:rPr>
          <w:rFonts w:ascii="Times New Roman" w:hAnsi="Times New Roman"/>
        </w:rPr>
        <w:t>do 30 listopada</w:t>
      </w:r>
      <w:r w:rsidRPr="000A3AF5">
        <w:rPr>
          <w:rFonts w:ascii="Times New Roman" w:hAnsi="Times New Roman"/>
        </w:rPr>
        <w:t xml:space="preserve">. </w:t>
      </w:r>
      <w:r w:rsidR="00A33B42">
        <w:rPr>
          <w:rFonts w:ascii="Times New Roman" w:hAnsi="Times New Roman"/>
        </w:rPr>
        <w:t>P</w:t>
      </w:r>
      <w:r w:rsidRPr="000A3AF5">
        <w:rPr>
          <w:rFonts w:ascii="Times New Roman" w:hAnsi="Times New Roman"/>
        </w:rPr>
        <w:t xml:space="preserve">roponowana </w:t>
      </w:r>
      <w:r>
        <w:rPr>
          <w:rFonts w:ascii="Times New Roman" w:hAnsi="Times New Roman"/>
        </w:rPr>
        <w:t>z</w:t>
      </w:r>
      <w:r w:rsidRPr="008E5FB3">
        <w:rPr>
          <w:rFonts w:ascii="Times New Roman" w:hAnsi="Times New Roman"/>
        </w:rPr>
        <w:t>miana wychodzi naprzeciw potrzebom jednostek samorządu terytorialnego oraz uwzględnia postulaty zgłaszane przez wojewodów.</w:t>
      </w:r>
    </w:p>
    <w:p w14:paraId="28059182" w14:textId="77777777" w:rsidR="00CB4517" w:rsidRPr="008E5FB3" w:rsidRDefault="00CB4517" w:rsidP="00C90852">
      <w:pPr>
        <w:spacing w:line="276" w:lineRule="auto"/>
        <w:jc w:val="both"/>
        <w:rPr>
          <w:rFonts w:ascii="Times New Roman" w:hAnsi="Times New Roman"/>
        </w:rPr>
      </w:pPr>
    </w:p>
    <w:p w14:paraId="78ABEAC2" w14:textId="19E5620D"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t>zmian</w:t>
      </w:r>
      <w:r w:rsidR="003D31A6">
        <w:rPr>
          <w:rFonts w:ascii="Times New Roman" w:hAnsi="Times New Roman"/>
          <w:b/>
          <w:i/>
        </w:rPr>
        <w:t>a</w:t>
      </w:r>
      <w:r w:rsidRPr="008E5FB3">
        <w:rPr>
          <w:rFonts w:ascii="Times New Roman" w:hAnsi="Times New Roman"/>
          <w:b/>
          <w:i/>
        </w:rPr>
        <w:t xml:space="preserve"> w art. 171</w:t>
      </w:r>
      <w:r w:rsidR="003D31A6">
        <w:rPr>
          <w:rFonts w:ascii="Times New Roman" w:hAnsi="Times New Roman"/>
          <w:b/>
          <w:i/>
        </w:rPr>
        <w:t>, dodanie ust. 1 a, zmiana ust. 3</w:t>
      </w:r>
      <w:r w:rsidR="00A33B42">
        <w:rPr>
          <w:rFonts w:ascii="Times New Roman" w:hAnsi="Times New Roman"/>
          <w:b/>
          <w:i/>
        </w:rPr>
        <w:t xml:space="preserve"> </w:t>
      </w:r>
      <w:r w:rsidR="003D31A6">
        <w:rPr>
          <w:rFonts w:ascii="Times New Roman" w:hAnsi="Times New Roman"/>
          <w:b/>
          <w:i/>
        </w:rPr>
        <w:t>i dodanie ust. 1</w:t>
      </w:r>
      <w:r w:rsidR="007A204A">
        <w:rPr>
          <w:rFonts w:ascii="Times New Roman" w:hAnsi="Times New Roman"/>
          <w:b/>
          <w:i/>
        </w:rPr>
        <w:t>1</w:t>
      </w:r>
      <w:r w:rsidR="00C51AB0">
        <w:rPr>
          <w:rFonts w:ascii="Times New Roman" w:hAnsi="Times New Roman"/>
          <w:b/>
          <w:i/>
        </w:rPr>
        <w:t xml:space="preserve"> </w:t>
      </w:r>
      <w:r w:rsidR="003D31A6">
        <w:rPr>
          <w:rFonts w:ascii="Times New Roman" w:hAnsi="Times New Roman"/>
          <w:b/>
          <w:i/>
        </w:rPr>
        <w:t>i 1</w:t>
      </w:r>
      <w:r w:rsidR="007A204A">
        <w:rPr>
          <w:rFonts w:ascii="Times New Roman" w:hAnsi="Times New Roman"/>
          <w:b/>
          <w:i/>
        </w:rPr>
        <w:t>2</w:t>
      </w:r>
    </w:p>
    <w:p w14:paraId="765A2011" w14:textId="77777777" w:rsidR="00CB4517" w:rsidRPr="008E5FB3" w:rsidRDefault="00CB4517" w:rsidP="00C90852">
      <w:pPr>
        <w:spacing w:line="276" w:lineRule="auto"/>
        <w:jc w:val="both"/>
        <w:rPr>
          <w:rFonts w:ascii="Times New Roman" w:hAnsi="Times New Roman"/>
          <w:b/>
        </w:rPr>
      </w:pPr>
    </w:p>
    <w:p w14:paraId="7A8D154C" w14:textId="1E2090AE" w:rsidR="00CB4517" w:rsidRPr="008E5FB3" w:rsidRDefault="00DD6039" w:rsidP="00C90852">
      <w:pPr>
        <w:spacing w:line="276" w:lineRule="auto"/>
        <w:jc w:val="both"/>
        <w:rPr>
          <w:rFonts w:ascii="Times New Roman" w:hAnsi="Times New Roman"/>
        </w:rPr>
      </w:pPr>
      <w:r>
        <w:rPr>
          <w:rFonts w:ascii="Times New Roman" w:hAnsi="Times New Roman"/>
        </w:rPr>
        <w:t>W dodawanym</w:t>
      </w:r>
      <w:r w:rsidR="005D0893">
        <w:rPr>
          <w:rFonts w:ascii="Times New Roman" w:hAnsi="Times New Roman"/>
        </w:rPr>
        <w:t xml:space="preserve"> </w:t>
      </w:r>
      <w:r w:rsidR="00CB4517" w:rsidRPr="008E5FB3">
        <w:rPr>
          <w:rFonts w:ascii="Times New Roman" w:hAnsi="Times New Roman"/>
        </w:rPr>
        <w:t>ust.</w:t>
      </w:r>
      <w:r w:rsidR="005D0893">
        <w:rPr>
          <w:rFonts w:ascii="Times New Roman" w:hAnsi="Times New Roman"/>
        </w:rPr>
        <w:t xml:space="preserve"> 1a</w:t>
      </w:r>
      <w:r w:rsidR="00CB4517" w:rsidRPr="008E5FB3">
        <w:rPr>
          <w:rFonts w:ascii="Times New Roman" w:hAnsi="Times New Roman"/>
        </w:rPr>
        <w:t xml:space="preserve"> wskazano </w:t>
      </w:r>
      <w:r w:rsidR="005D0893">
        <w:rPr>
          <w:rFonts w:ascii="Times New Roman" w:hAnsi="Times New Roman"/>
        </w:rPr>
        <w:t>na</w:t>
      </w:r>
      <w:r w:rsidR="00CB4517" w:rsidRPr="008E5FB3">
        <w:rPr>
          <w:rFonts w:ascii="Times New Roman" w:hAnsi="Times New Roman"/>
        </w:rPr>
        <w:t xml:space="preserve"> możliwość przeniesienia wydatków do nowoutworzonego rozdziału na mocy rozporządzenia Ministra Finansów wydanego na podstawie art. 39 ust. 4 ustawy, w związku z wejściem w życie odrębnych przepisów, co usankcjonuje dokonywanie przez dysponentów przeniesień wydatków w ramach danej części i działu budżetu państwa pomiędzy rozdziałami, a nowymi rozdziałami, utworzonymi w trakcie roku budżetowego.</w:t>
      </w:r>
      <w:r w:rsidR="005D0893">
        <w:rPr>
          <w:rFonts w:ascii="Times New Roman" w:hAnsi="Times New Roman"/>
        </w:rPr>
        <w:t xml:space="preserve"> Nowy ust. 1a umożliwia</w:t>
      </w:r>
      <w:r w:rsidR="00432166">
        <w:rPr>
          <w:rFonts w:ascii="Times New Roman" w:hAnsi="Times New Roman"/>
        </w:rPr>
        <w:t xml:space="preserve"> zatem</w:t>
      </w:r>
      <w:r w:rsidR="005D0893">
        <w:rPr>
          <w:rFonts w:ascii="Times New Roman" w:hAnsi="Times New Roman"/>
        </w:rPr>
        <w:t xml:space="preserve"> dysponentom</w:t>
      </w:r>
      <w:r w:rsidR="007A204A">
        <w:rPr>
          <w:rFonts w:ascii="Times New Roman" w:hAnsi="Times New Roman"/>
        </w:rPr>
        <w:t xml:space="preserve"> dokonywanie przeniesień wydatków </w:t>
      </w:r>
      <w:r w:rsidR="00D42863">
        <w:rPr>
          <w:rFonts w:ascii="Times New Roman" w:hAnsi="Times New Roman"/>
        </w:rPr>
        <w:t>w</w:t>
      </w:r>
      <w:r w:rsidR="000A3AF5">
        <w:rPr>
          <w:rFonts w:ascii="Times New Roman" w:hAnsi="Times New Roman"/>
        </w:rPr>
        <w:t xml:space="preserve"> </w:t>
      </w:r>
      <w:r w:rsidR="00D42863">
        <w:rPr>
          <w:rFonts w:ascii="Times New Roman" w:hAnsi="Times New Roman"/>
        </w:rPr>
        <w:t>trakcie roku budżetowego</w:t>
      </w:r>
      <w:r w:rsidR="007A204A">
        <w:rPr>
          <w:rFonts w:ascii="Times New Roman" w:hAnsi="Times New Roman"/>
        </w:rPr>
        <w:t xml:space="preserve"> do</w:t>
      </w:r>
      <w:r w:rsidR="005D0893" w:rsidRPr="005D0893">
        <w:rPr>
          <w:rFonts w:ascii="Times New Roman" w:hAnsi="Times New Roman"/>
        </w:rPr>
        <w:t xml:space="preserve"> </w:t>
      </w:r>
      <w:r w:rsidR="005D0893">
        <w:rPr>
          <w:rFonts w:ascii="Times New Roman" w:hAnsi="Times New Roman"/>
        </w:rPr>
        <w:t>nowych rozdziałów</w:t>
      </w:r>
      <w:r w:rsidR="00D42863">
        <w:rPr>
          <w:rFonts w:ascii="Times New Roman" w:hAnsi="Times New Roman"/>
        </w:rPr>
        <w:t>.</w:t>
      </w:r>
    </w:p>
    <w:p w14:paraId="1176FED2" w14:textId="77777777" w:rsidR="00CB4517" w:rsidRPr="008E5FB3" w:rsidRDefault="00CB4517" w:rsidP="00C90852">
      <w:pPr>
        <w:spacing w:line="276" w:lineRule="auto"/>
        <w:jc w:val="both"/>
        <w:rPr>
          <w:rFonts w:ascii="Times New Roman" w:hAnsi="Times New Roman"/>
        </w:rPr>
      </w:pPr>
    </w:p>
    <w:p w14:paraId="427C11E8" w14:textId="574FA5A1" w:rsidR="00F2218A" w:rsidRPr="00F2218A" w:rsidRDefault="00CB4517" w:rsidP="00F2218A">
      <w:pPr>
        <w:spacing w:line="276" w:lineRule="auto"/>
        <w:jc w:val="both"/>
        <w:rPr>
          <w:rFonts w:ascii="Times New Roman" w:hAnsi="Times New Roman"/>
        </w:rPr>
      </w:pPr>
      <w:r w:rsidRPr="008E5FB3">
        <w:rPr>
          <w:rFonts w:ascii="Times New Roman" w:hAnsi="Times New Roman"/>
        </w:rPr>
        <w:t>W ust. 3 zwiększono kwoty wydatków majątkowych (ze 100 tys. zł na 500 tys. zł), co do których nie jest wymagana zgoda Ministra Finansów na dokonanie zwiększenia albo zmniejszenia tych wydatków. Zmiana pozwoli na bardziej efektywne zarządzanie posiadanymi środkami oraz uprości i zmniejszy obciążenia dysponentów części budżetowych.</w:t>
      </w:r>
      <w:r w:rsidR="00F2218A" w:rsidRPr="00F2218A">
        <w:t xml:space="preserve"> </w:t>
      </w:r>
      <w:r w:rsidR="00383DFE">
        <w:rPr>
          <w:rFonts w:ascii="Times New Roman" w:hAnsi="Times New Roman"/>
        </w:rPr>
        <w:t xml:space="preserve">Ponadto </w:t>
      </w:r>
      <w:r w:rsidR="00691235">
        <w:rPr>
          <w:rFonts w:ascii="Times New Roman" w:hAnsi="Times New Roman"/>
        </w:rPr>
        <w:t>zmiana brz</w:t>
      </w:r>
      <w:r w:rsidR="00383DFE">
        <w:rPr>
          <w:rFonts w:ascii="Times New Roman" w:hAnsi="Times New Roman"/>
        </w:rPr>
        <w:t>mienia przepisu</w:t>
      </w:r>
      <w:r w:rsidR="00F2218A" w:rsidRPr="00F2218A">
        <w:rPr>
          <w:rFonts w:ascii="Times New Roman" w:hAnsi="Times New Roman"/>
        </w:rPr>
        <w:t xml:space="preserve"> ma na celu odbiurokratyzowanie czynności wykonywanych przez</w:t>
      </w:r>
    </w:p>
    <w:p w14:paraId="08740A1D" w14:textId="77777777" w:rsidR="003B3C60" w:rsidRDefault="00F2218A" w:rsidP="00C90852">
      <w:pPr>
        <w:spacing w:line="276" w:lineRule="auto"/>
        <w:jc w:val="both"/>
        <w:rPr>
          <w:rFonts w:ascii="Times New Roman" w:hAnsi="Times New Roman"/>
        </w:rPr>
      </w:pPr>
      <w:r w:rsidRPr="00F2218A">
        <w:rPr>
          <w:rFonts w:ascii="Times New Roman" w:hAnsi="Times New Roman"/>
        </w:rPr>
        <w:t>dysponentów w zakresie informowania Ministra Fina</w:t>
      </w:r>
      <w:r w:rsidR="00383DFE">
        <w:rPr>
          <w:rFonts w:ascii="Times New Roman" w:hAnsi="Times New Roman"/>
        </w:rPr>
        <w:t xml:space="preserve">nsów o dokonanym przeniesieniu, </w:t>
      </w:r>
      <w:r w:rsidRPr="00F2218A">
        <w:rPr>
          <w:rFonts w:ascii="Times New Roman" w:hAnsi="Times New Roman"/>
        </w:rPr>
        <w:t>poniżej kwoty, o której mowa w art. 171 ust. 3 ustawy. Inform</w:t>
      </w:r>
      <w:r w:rsidR="00383DFE">
        <w:rPr>
          <w:rFonts w:ascii="Times New Roman" w:hAnsi="Times New Roman"/>
        </w:rPr>
        <w:t xml:space="preserve">acje w tym zakresie mogą zostać </w:t>
      </w:r>
      <w:r w:rsidRPr="00F2218A">
        <w:rPr>
          <w:rFonts w:ascii="Times New Roman" w:hAnsi="Times New Roman"/>
        </w:rPr>
        <w:t>pozyskane za pośrednictwem systemu Trezor - bez</w:t>
      </w:r>
      <w:r w:rsidR="00383DFE">
        <w:rPr>
          <w:rFonts w:ascii="Times New Roman" w:hAnsi="Times New Roman"/>
        </w:rPr>
        <w:t xml:space="preserve"> potrzeby utrzymywania ustawowo </w:t>
      </w:r>
      <w:r w:rsidRPr="00F2218A">
        <w:rPr>
          <w:rFonts w:ascii="Times New Roman" w:hAnsi="Times New Roman"/>
        </w:rPr>
        <w:t>określonego obowiązku informowania</w:t>
      </w:r>
      <w:r w:rsidR="00383DFE">
        <w:rPr>
          <w:rFonts w:ascii="Times New Roman" w:hAnsi="Times New Roman"/>
        </w:rPr>
        <w:t>.</w:t>
      </w:r>
    </w:p>
    <w:p w14:paraId="3D1CD3E8" w14:textId="77777777" w:rsidR="003B3C60" w:rsidRDefault="003B3C60" w:rsidP="00C90852">
      <w:pPr>
        <w:spacing w:line="276" w:lineRule="auto"/>
        <w:jc w:val="both"/>
        <w:rPr>
          <w:rFonts w:ascii="Times New Roman" w:hAnsi="Times New Roman"/>
        </w:rPr>
      </w:pPr>
    </w:p>
    <w:p w14:paraId="5F1CE618" w14:textId="64755763" w:rsidR="00DD6039" w:rsidRDefault="0057757D" w:rsidP="00C90852">
      <w:pPr>
        <w:spacing w:line="276" w:lineRule="auto"/>
        <w:jc w:val="both"/>
        <w:rPr>
          <w:rFonts w:ascii="Times New Roman" w:hAnsi="Times New Roman"/>
        </w:rPr>
      </w:pPr>
      <w:r>
        <w:rPr>
          <w:rFonts w:ascii="Times New Roman" w:hAnsi="Times New Roman"/>
        </w:rPr>
        <w:t>Uchylony zostanie ust. 8, a d</w:t>
      </w:r>
      <w:r w:rsidR="00CB4517" w:rsidRPr="008E5FB3">
        <w:rPr>
          <w:rFonts w:ascii="Times New Roman" w:hAnsi="Times New Roman"/>
        </w:rPr>
        <w:t>odan</w:t>
      </w:r>
      <w:r>
        <w:rPr>
          <w:rFonts w:ascii="Times New Roman" w:hAnsi="Times New Roman"/>
        </w:rPr>
        <w:t>e</w:t>
      </w:r>
      <w:r w:rsidR="00CB4517" w:rsidRPr="008E5FB3">
        <w:rPr>
          <w:rFonts w:ascii="Times New Roman" w:hAnsi="Times New Roman"/>
        </w:rPr>
        <w:t xml:space="preserve"> ust. </w:t>
      </w:r>
      <w:r w:rsidR="00EC4DAF" w:rsidRPr="008E5FB3">
        <w:rPr>
          <w:rFonts w:ascii="Times New Roman" w:hAnsi="Times New Roman"/>
        </w:rPr>
        <w:t>1</w:t>
      </w:r>
      <w:r w:rsidR="00EC4DAF">
        <w:rPr>
          <w:rFonts w:ascii="Times New Roman" w:hAnsi="Times New Roman"/>
        </w:rPr>
        <w:t>1</w:t>
      </w:r>
      <w:r w:rsidR="00EC4DAF" w:rsidRPr="008E5FB3">
        <w:rPr>
          <w:rFonts w:ascii="Times New Roman" w:hAnsi="Times New Roman"/>
        </w:rPr>
        <w:t xml:space="preserve"> </w:t>
      </w:r>
      <w:r w:rsidR="00CB4517" w:rsidRPr="008E5FB3">
        <w:rPr>
          <w:rFonts w:ascii="Times New Roman" w:hAnsi="Times New Roman"/>
        </w:rPr>
        <w:t xml:space="preserve">i ust. </w:t>
      </w:r>
      <w:r w:rsidR="00EC4DAF" w:rsidRPr="008E5FB3">
        <w:rPr>
          <w:rFonts w:ascii="Times New Roman" w:hAnsi="Times New Roman"/>
        </w:rPr>
        <w:t>1</w:t>
      </w:r>
      <w:r w:rsidR="00EC4DAF">
        <w:rPr>
          <w:rFonts w:ascii="Times New Roman" w:hAnsi="Times New Roman"/>
        </w:rPr>
        <w:t>2</w:t>
      </w:r>
      <w:r w:rsidR="00CB4517" w:rsidRPr="008E5FB3">
        <w:rPr>
          <w:rFonts w:ascii="Times New Roman" w:hAnsi="Times New Roman"/>
        </w:rPr>
        <w:t xml:space="preserve">, wprowadzając tym samym możliwość przenoszenia wydatków w budżetach wojewodów </w:t>
      </w:r>
      <w:r w:rsidR="00CB4517" w:rsidRPr="008E5FB3">
        <w:rPr>
          <w:rFonts w:ascii="Times New Roman" w:hAnsi="Times New Roman"/>
          <w:i/>
        </w:rPr>
        <w:t>–</w:t>
      </w:r>
      <w:r w:rsidR="00CB4517" w:rsidRPr="008E5FB3">
        <w:rPr>
          <w:rFonts w:ascii="Times New Roman" w:hAnsi="Times New Roman"/>
        </w:rPr>
        <w:t xml:space="preserve"> w trakcie wykonywania budżetu w ramach planu wydatków </w:t>
      </w:r>
      <w:r w:rsidR="00CB4517" w:rsidRPr="008E5FB3">
        <w:rPr>
          <w:rFonts w:ascii="Times New Roman" w:hAnsi="Times New Roman"/>
          <w:i/>
        </w:rPr>
        <w:t>–</w:t>
      </w:r>
      <w:r w:rsidR="00CB4517" w:rsidRPr="008E5FB3">
        <w:rPr>
          <w:rFonts w:ascii="Times New Roman" w:hAnsi="Times New Roman"/>
        </w:rPr>
        <w:t xml:space="preserve">  na zadania zlecone do realizacji jednostkom samorządu terytorialnego, pomiędzy działami klasyfikacji budżetowej, co stanowi odstępstwo od ogólnej zasady zawartej w ustawie o finansach publicznych, odnośnie do braku możliwości przenoszenia wydatków przez dysponentów części budżetowych pomiędzy działami klasyfikacji budżetowej. Biorąc </w:t>
      </w:r>
      <w:r w:rsidR="00CB4517" w:rsidRPr="008E5FB3">
        <w:rPr>
          <w:rFonts w:ascii="Times New Roman" w:hAnsi="Times New Roman"/>
        </w:rPr>
        <w:lastRenderedPageBreak/>
        <w:t>pod uwagę, że jednostki samorządu terytorialnego wykonują liczne zadania publiczne zlecone ustawami, które ze względu na rodzaj działalności klasyfikowane są w różnych działach klasyfikacji budżetowej, konieczne jest uelastycznienie przepisów w tym zakresie. Przyjęte rozwiązanie pozwoli wojewodom na zarządzanie środkami finansowymi w przypadku zidentyfikowania oszczędności w danym obszarze i zapewnienie prawidłowej realizacji zadań. Jednocześnie, w celu właściwego nadzoru nad budżetem państwa proponuje się zastrzeżenie, że w sytuacji przeniesienia wydatków dysponent nie będzie mógł wnioskować o zwiększenie planu wydatków z rezerw celowych, na zadania na które został zmniejszony plan wydatków w trakcie realizacji budżetu w wyniku przeniesień dokonanych w tym trybie, z wyłączeniem środków, które zostały przeznaczone na sfinansowanie zobowiązań wymagalnych na podstawie art. 164. O wszelkich dokonanych zmianach dysponenci powinni niezwłocznie informować Ministra Finansów.</w:t>
      </w:r>
    </w:p>
    <w:p w14:paraId="403F70CC" w14:textId="77777777" w:rsidR="000A09B7" w:rsidRPr="008E5FB3" w:rsidRDefault="000A09B7" w:rsidP="00C90852">
      <w:pPr>
        <w:spacing w:line="276" w:lineRule="auto"/>
        <w:jc w:val="both"/>
        <w:rPr>
          <w:rFonts w:ascii="Times New Roman" w:hAnsi="Times New Roman"/>
        </w:rPr>
      </w:pPr>
    </w:p>
    <w:p w14:paraId="6C20186B" w14:textId="45C9BA5A"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t>zmiana w art. 177</w:t>
      </w:r>
      <w:r w:rsidR="003D31A6">
        <w:rPr>
          <w:rFonts w:ascii="Times New Roman" w:hAnsi="Times New Roman"/>
          <w:b/>
          <w:i/>
        </w:rPr>
        <w:t xml:space="preserve"> ust. 6 i uchylenie ust. 8</w:t>
      </w:r>
    </w:p>
    <w:p w14:paraId="2655B71C" w14:textId="77777777" w:rsidR="00CB4517" w:rsidRPr="008E5FB3" w:rsidRDefault="00CB4517" w:rsidP="00C90852">
      <w:pPr>
        <w:spacing w:line="276" w:lineRule="auto"/>
        <w:jc w:val="both"/>
        <w:rPr>
          <w:rFonts w:ascii="Times New Roman" w:hAnsi="Times New Roman"/>
          <w:b/>
          <w:i/>
        </w:rPr>
      </w:pPr>
    </w:p>
    <w:p w14:paraId="415E78ED" w14:textId="19FFD7BA" w:rsidR="00CB4517" w:rsidRPr="008E5FB3" w:rsidRDefault="00CB4517" w:rsidP="00C90852">
      <w:pPr>
        <w:spacing w:line="276" w:lineRule="auto"/>
        <w:jc w:val="both"/>
        <w:rPr>
          <w:rFonts w:ascii="Times New Roman" w:hAnsi="Times New Roman"/>
        </w:rPr>
      </w:pPr>
      <w:r w:rsidRPr="008E5FB3">
        <w:rPr>
          <w:rFonts w:ascii="Times New Roman" w:hAnsi="Times New Roman"/>
        </w:rPr>
        <w:t xml:space="preserve">Zdecydowano o dokonaniu modyfikacji brzmienia przepisu ust. 6, wskazującego na podstawie </w:t>
      </w:r>
      <w:r w:rsidR="00844E5F">
        <w:rPr>
          <w:rFonts w:ascii="Times New Roman" w:hAnsi="Times New Roman"/>
        </w:rPr>
        <w:t>jakich</w:t>
      </w:r>
      <w:r w:rsidRPr="008E5FB3">
        <w:rPr>
          <w:rFonts w:ascii="Times New Roman" w:hAnsi="Times New Roman"/>
        </w:rPr>
        <w:t xml:space="preserve"> przesłanek</w:t>
      </w:r>
      <w:r w:rsidR="00844E5F">
        <w:rPr>
          <w:rFonts w:ascii="Times New Roman" w:hAnsi="Times New Roman"/>
        </w:rPr>
        <w:t>,</w:t>
      </w:r>
      <w:r w:rsidRPr="008E5FB3">
        <w:rPr>
          <w:rFonts w:ascii="Times New Roman" w:hAnsi="Times New Roman"/>
        </w:rPr>
        <w:t xml:space="preserve"> zablokowane środki</w:t>
      </w:r>
      <w:r w:rsidR="00844E5F">
        <w:rPr>
          <w:rFonts w:ascii="Times New Roman" w:hAnsi="Times New Roman"/>
        </w:rPr>
        <w:t>,</w:t>
      </w:r>
      <w:r w:rsidRPr="008E5FB3">
        <w:rPr>
          <w:rFonts w:ascii="Times New Roman" w:hAnsi="Times New Roman"/>
        </w:rPr>
        <w:t xml:space="preserve"> mogą </w:t>
      </w:r>
      <w:r w:rsidR="00844E5F">
        <w:rPr>
          <w:rFonts w:ascii="Times New Roman" w:hAnsi="Times New Roman"/>
        </w:rPr>
        <w:t>zostać ujęte w nowotworzonej</w:t>
      </w:r>
      <w:r w:rsidRPr="008E5FB3">
        <w:rPr>
          <w:rFonts w:ascii="Times New Roman" w:hAnsi="Times New Roman"/>
        </w:rPr>
        <w:t xml:space="preserve"> rezerwie celowej. </w:t>
      </w:r>
      <w:r w:rsidR="00844E5F">
        <w:rPr>
          <w:rFonts w:ascii="Times New Roman" w:hAnsi="Times New Roman"/>
        </w:rPr>
        <w:t xml:space="preserve">Odnosząc się jedynie do literalnego brzmienia przepisu </w:t>
      </w:r>
      <w:r w:rsidR="00A663D5">
        <w:rPr>
          <w:rFonts w:ascii="Times New Roman" w:hAnsi="Times New Roman"/>
        </w:rPr>
        <w:t xml:space="preserve">można </w:t>
      </w:r>
      <w:r w:rsidR="00844E5F">
        <w:rPr>
          <w:rFonts w:ascii="Times New Roman" w:hAnsi="Times New Roman"/>
        </w:rPr>
        <w:t>wywnioskować</w:t>
      </w:r>
      <w:r w:rsidRPr="008E5FB3">
        <w:rPr>
          <w:rFonts w:ascii="Times New Roman" w:hAnsi="Times New Roman"/>
        </w:rPr>
        <w:t>, że do rezerwy celowej może zostać przeniesiona jedynie kwota wydatków zablokowanych na podstawie ust. 1 pkt 2 i 3 (łącznie) a nie, przykładowo tylko na podstawie ust. 1 pkt 2 (albo jedynie ust. 1 pkt 3). Poza tym, brak jest racjonalnego uzasadnienia dla tego, aby środki zablokowane na mocy ust. 1 pkt 1 i 4 były wyłączone z możliwości ujęcia ich w nowej rezerwie celowej (analogicznie jak te z pkt 2 i 3).</w:t>
      </w:r>
    </w:p>
    <w:p w14:paraId="6051E813" w14:textId="77777777" w:rsidR="00CB4517" w:rsidRPr="008E5FB3" w:rsidRDefault="00CB4517" w:rsidP="00C90852">
      <w:pPr>
        <w:spacing w:line="276" w:lineRule="auto"/>
        <w:jc w:val="both"/>
        <w:rPr>
          <w:rFonts w:ascii="Times New Roman" w:hAnsi="Times New Roman"/>
        </w:rPr>
      </w:pPr>
    </w:p>
    <w:p w14:paraId="414101C9" w14:textId="28A11BD3" w:rsidR="00CB4517" w:rsidRPr="008E5FB3" w:rsidRDefault="00CB4517" w:rsidP="00C90852">
      <w:pPr>
        <w:spacing w:line="276" w:lineRule="auto"/>
        <w:jc w:val="both"/>
        <w:rPr>
          <w:rFonts w:ascii="Times New Roman" w:eastAsiaTheme="minorHAnsi" w:hAnsi="Times New Roman"/>
        </w:rPr>
      </w:pPr>
      <w:r w:rsidRPr="008E5FB3">
        <w:rPr>
          <w:rFonts w:ascii="Times New Roman" w:hAnsi="Times New Roman"/>
        </w:rPr>
        <w:t>Zaproponowano</w:t>
      </w:r>
      <w:r w:rsidR="00844E5F">
        <w:rPr>
          <w:rFonts w:ascii="Times New Roman" w:hAnsi="Times New Roman"/>
        </w:rPr>
        <w:t xml:space="preserve"> </w:t>
      </w:r>
      <w:r w:rsidRPr="008E5FB3">
        <w:rPr>
          <w:rFonts w:ascii="Times New Roman" w:hAnsi="Times New Roman"/>
        </w:rPr>
        <w:t xml:space="preserve">uchylenie </w:t>
      </w:r>
      <w:r w:rsidR="00844E5F">
        <w:rPr>
          <w:rFonts w:ascii="Times New Roman" w:hAnsi="Times New Roman"/>
        </w:rPr>
        <w:t xml:space="preserve">w art. 177 </w:t>
      </w:r>
      <w:r w:rsidRPr="008E5FB3">
        <w:rPr>
          <w:rFonts w:ascii="Times New Roman" w:hAnsi="Times New Roman"/>
        </w:rPr>
        <w:t>ust. 8, z</w:t>
      </w:r>
      <w:r w:rsidRPr="008E5FB3">
        <w:rPr>
          <w:rFonts w:ascii="Times New Roman" w:eastAsiaTheme="minorHAnsi" w:hAnsi="Times New Roman"/>
          <w:color w:val="000000"/>
        </w:rPr>
        <w:t xml:space="preserve">godnie z którym Minister Finansów informuje niezwłocznie Radę Ministrów o przyczynach podjęcia decyzji, o których mowa w ust. 3 pkt 1. Rada Ministrów może </w:t>
      </w:r>
      <w:r w:rsidR="005D0893">
        <w:rPr>
          <w:rFonts w:ascii="Times New Roman" w:eastAsiaTheme="minorHAnsi" w:hAnsi="Times New Roman"/>
          <w:color w:val="000000"/>
        </w:rPr>
        <w:t xml:space="preserve">natomiast </w:t>
      </w:r>
      <w:r w:rsidRPr="008E5FB3">
        <w:rPr>
          <w:rFonts w:ascii="Times New Roman" w:eastAsiaTheme="minorHAnsi" w:hAnsi="Times New Roman"/>
          <w:color w:val="000000"/>
        </w:rPr>
        <w:t xml:space="preserve">uchylić </w:t>
      </w:r>
      <w:r w:rsidRPr="008E5FB3">
        <w:rPr>
          <w:rFonts w:ascii="Times New Roman" w:eastAsiaTheme="minorHAnsi" w:hAnsi="Times New Roman"/>
        </w:rPr>
        <w:t>decyzję Ministra Finansów w terminie 30 dni od dnia poinformowania o podjęciu decyzji. Przepis ten</w:t>
      </w:r>
      <w:r w:rsidR="003B3C60">
        <w:rPr>
          <w:rFonts w:ascii="Times New Roman" w:eastAsiaTheme="minorHAnsi" w:hAnsi="Times New Roman"/>
        </w:rPr>
        <w:t xml:space="preserve"> </w:t>
      </w:r>
      <w:r w:rsidR="005D0893">
        <w:rPr>
          <w:rFonts w:ascii="Times New Roman" w:eastAsiaTheme="minorHAnsi" w:hAnsi="Times New Roman"/>
        </w:rPr>
        <w:t>prowadzi do nadmiernego wydłużenia</w:t>
      </w:r>
      <w:r w:rsidRPr="008E5FB3">
        <w:rPr>
          <w:rFonts w:ascii="Times New Roman" w:eastAsiaTheme="minorHAnsi" w:hAnsi="Times New Roman"/>
        </w:rPr>
        <w:t xml:space="preserve"> proces</w:t>
      </w:r>
      <w:r w:rsidR="005D0893">
        <w:rPr>
          <w:rFonts w:ascii="Times New Roman" w:eastAsiaTheme="minorHAnsi" w:hAnsi="Times New Roman"/>
        </w:rPr>
        <w:t>u</w:t>
      </w:r>
      <w:r w:rsidRPr="008E5FB3">
        <w:rPr>
          <w:rFonts w:ascii="Times New Roman" w:eastAsiaTheme="minorHAnsi" w:hAnsi="Times New Roman"/>
        </w:rPr>
        <w:t xml:space="preserve"> z</w:t>
      </w:r>
      <w:r w:rsidR="005D0893">
        <w:rPr>
          <w:rFonts w:ascii="Times New Roman" w:eastAsiaTheme="minorHAnsi" w:hAnsi="Times New Roman"/>
        </w:rPr>
        <w:t>wiązanego</w:t>
      </w:r>
      <w:r w:rsidR="00D12A3C">
        <w:rPr>
          <w:rFonts w:ascii="Times New Roman" w:eastAsiaTheme="minorHAnsi" w:hAnsi="Times New Roman"/>
        </w:rPr>
        <w:t xml:space="preserve"> z wdrożeniem decyzji</w:t>
      </w:r>
      <w:r w:rsidR="005D0893">
        <w:rPr>
          <w:rFonts w:ascii="Times New Roman" w:eastAsiaTheme="minorHAnsi" w:hAnsi="Times New Roman"/>
        </w:rPr>
        <w:t xml:space="preserve"> o blokowaniu planowanych wydatków</w:t>
      </w:r>
      <w:r w:rsidR="00D12A3C">
        <w:rPr>
          <w:rFonts w:ascii="Times New Roman" w:eastAsiaTheme="minorHAnsi" w:hAnsi="Times New Roman"/>
        </w:rPr>
        <w:t>,</w:t>
      </w:r>
      <w:r w:rsidR="003B3C60">
        <w:rPr>
          <w:rFonts w:ascii="Times New Roman" w:eastAsiaTheme="minorHAnsi" w:hAnsi="Times New Roman"/>
        </w:rPr>
        <w:t xml:space="preserve"> jak również z </w:t>
      </w:r>
      <w:r w:rsidR="005D0893">
        <w:rPr>
          <w:rFonts w:ascii="Times New Roman" w:eastAsiaTheme="minorHAnsi" w:hAnsi="Times New Roman"/>
        </w:rPr>
        <w:t>utworzeniem nowej rezerwy celowej,</w:t>
      </w:r>
      <w:r w:rsidR="00D12A3C">
        <w:rPr>
          <w:rFonts w:ascii="Times New Roman" w:eastAsiaTheme="minorHAnsi" w:hAnsi="Times New Roman"/>
        </w:rPr>
        <w:t xml:space="preserve"> w </w:t>
      </w:r>
      <w:r w:rsidR="005D0893">
        <w:rPr>
          <w:rFonts w:ascii="Times New Roman" w:eastAsiaTheme="minorHAnsi" w:hAnsi="Times New Roman"/>
        </w:rPr>
        <w:t>szczególności gdy</w:t>
      </w:r>
      <w:r w:rsidRPr="008E5FB3">
        <w:rPr>
          <w:rFonts w:ascii="Times New Roman" w:eastAsiaTheme="minorHAnsi" w:hAnsi="Times New Roman"/>
        </w:rPr>
        <w:t xml:space="preserve"> </w:t>
      </w:r>
      <w:r w:rsidR="005D0893">
        <w:rPr>
          <w:rFonts w:ascii="Times New Roman" w:eastAsiaTheme="minorHAnsi" w:hAnsi="Times New Roman"/>
          <w:color w:val="000000"/>
        </w:rPr>
        <w:t>decyzje zapadają</w:t>
      </w:r>
      <w:r w:rsidR="00D12A3C">
        <w:rPr>
          <w:rFonts w:ascii="Times New Roman" w:eastAsiaTheme="minorHAnsi" w:hAnsi="Times New Roman"/>
          <w:color w:val="000000"/>
        </w:rPr>
        <w:t xml:space="preserve"> w </w:t>
      </w:r>
      <w:r w:rsidRPr="008E5FB3">
        <w:rPr>
          <w:rFonts w:ascii="Times New Roman" w:eastAsiaTheme="minorHAnsi" w:hAnsi="Times New Roman"/>
          <w:color w:val="000000"/>
        </w:rPr>
        <w:t>ostatnich dniach roku budżetowego</w:t>
      </w:r>
      <w:r w:rsidR="005D0893">
        <w:rPr>
          <w:rFonts w:ascii="Times New Roman" w:eastAsiaTheme="minorHAnsi" w:hAnsi="Times New Roman"/>
          <w:color w:val="000000"/>
        </w:rPr>
        <w:t xml:space="preserve"> (roczność budżetu)</w:t>
      </w:r>
      <w:r w:rsidRPr="008E5FB3">
        <w:rPr>
          <w:rFonts w:ascii="Times New Roman" w:eastAsiaTheme="minorHAnsi" w:hAnsi="Times New Roman"/>
          <w:color w:val="000000"/>
        </w:rPr>
        <w:t xml:space="preserve">. </w:t>
      </w:r>
    </w:p>
    <w:p w14:paraId="75EE5089" w14:textId="77777777" w:rsidR="00CB4517" w:rsidRPr="008E5FB3" w:rsidRDefault="00CB4517" w:rsidP="00C90852">
      <w:pPr>
        <w:pStyle w:val="Zwykytekst"/>
        <w:spacing w:line="276" w:lineRule="auto"/>
        <w:jc w:val="both"/>
        <w:rPr>
          <w:rFonts w:ascii="Times New Roman" w:hAnsi="Times New Roman" w:cs="Times New Roman"/>
          <w:sz w:val="24"/>
          <w:szCs w:val="24"/>
        </w:rPr>
      </w:pPr>
    </w:p>
    <w:p w14:paraId="529493C6" w14:textId="010D2272" w:rsidR="00CB4517" w:rsidRPr="008E5FB3" w:rsidRDefault="00EC4DAF" w:rsidP="00C90852">
      <w:pPr>
        <w:spacing w:line="276" w:lineRule="auto"/>
        <w:jc w:val="both"/>
        <w:rPr>
          <w:rFonts w:ascii="Times New Roman" w:hAnsi="Times New Roman"/>
          <w:b/>
          <w:i/>
        </w:rPr>
      </w:pPr>
      <w:r>
        <w:rPr>
          <w:rFonts w:ascii="Times New Roman" w:hAnsi="Times New Roman"/>
          <w:b/>
          <w:i/>
        </w:rPr>
        <w:t>d</w:t>
      </w:r>
      <w:r w:rsidRPr="008E5FB3">
        <w:rPr>
          <w:rFonts w:ascii="Times New Roman" w:hAnsi="Times New Roman"/>
          <w:b/>
          <w:i/>
        </w:rPr>
        <w:t>odanie</w:t>
      </w:r>
      <w:r>
        <w:rPr>
          <w:rFonts w:ascii="Times New Roman" w:hAnsi="Times New Roman"/>
          <w:b/>
          <w:i/>
        </w:rPr>
        <w:t xml:space="preserve"> </w:t>
      </w:r>
      <w:r w:rsidR="00CB4517" w:rsidRPr="008E5FB3">
        <w:rPr>
          <w:rFonts w:ascii="Times New Roman" w:hAnsi="Times New Roman"/>
          <w:b/>
          <w:i/>
        </w:rPr>
        <w:t xml:space="preserve">art. </w:t>
      </w:r>
      <w:r w:rsidR="00965AA8">
        <w:rPr>
          <w:rFonts w:ascii="Times New Roman" w:hAnsi="Times New Roman"/>
          <w:b/>
          <w:i/>
        </w:rPr>
        <w:t>180</w:t>
      </w:r>
      <w:r w:rsidR="00CD0A33">
        <w:rPr>
          <w:rFonts w:ascii="Times New Roman" w:hAnsi="Times New Roman"/>
          <w:b/>
          <w:i/>
        </w:rPr>
        <w:t>c</w:t>
      </w:r>
    </w:p>
    <w:p w14:paraId="76FFE92F" w14:textId="77777777" w:rsidR="00844E5F" w:rsidRDefault="00844E5F" w:rsidP="00C90852">
      <w:pPr>
        <w:spacing w:line="276" w:lineRule="auto"/>
        <w:jc w:val="both"/>
        <w:rPr>
          <w:rFonts w:ascii="Times New Roman" w:hAnsi="Times New Roman"/>
        </w:rPr>
      </w:pPr>
    </w:p>
    <w:p w14:paraId="0D9780EF" w14:textId="65C8E2D9" w:rsidR="00341367" w:rsidRDefault="00D8275B" w:rsidP="00C90852">
      <w:pPr>
        <w:spacing w:line="276" w:lineRule="auto"/>
        <w:jc w:val="both"/>
        <w:rPr>
          <w:rFonts w:ascii="Times New Roman" w:hAnsi="Times New Roman"/>
        </w:rPr>
      </w:pPr>
      <w:r w:rsidRPr="00D878F6">
        <w:rPr>
          <w:rFonts w:ascii="Times New Roman" w:hAnsi="Times New Roman"/>
        </w:rPr>
        <w:t>P</w:t>
      </w:r>
      <w:r w:rsidR="00CB4517" w:rsidRPr="00D878F6">
        <w:rPr>
          <w:rFonts w:ascii="Times New Roman" w:hAnsi="Times New Roman"/>
        </w:rPr>
        <w:t>rojektowany art. 180</w:t>
      </w:r>
      <w:r w:rsidR="00CD0A33" w:rsidRPr="00D878F6">
        <w:rPr>
          <w:rFonts w:ascii="Times New Roman" w:hAnsi="Times New Roman"/>
        </w:rPr>
        <w:t>c</w:t>
      </w:r>
      <w:r w:rsidR="00CB4517" w:rsidRPr="00D878F6">
        <w:rPr>
          <w:rFonts w:ascii="Times New Roman" w:hAnsi="Times New Roman"/>
        </w:rPr>
        <w:t xml:space="preserve"> ma na celu ujednolicenie kwestii zapisu kwot dochodów i</w:t>
      </w:r>
      <w:r w:rsidR="00E24565" w:rsidRPr="00D878F6">
        <w:rPr>
          <w:rFonts w:ascii="Times New Roman" w:hAnsi="Times New Roman"/>
        </w:rPr>
        <w:t> </w:t>
      </w:r>
      <w:r w:rsidRPr="00D878F6">
        <w:rPr>
          <w:rFonts w:ascii="Times New Roman" w:hAnsi="Times New Roman"/>
        </w:rPr>
        <w:t xml:space="preserve">wydatków budżetu państwa </w:t>
      </w:r>
      <w:r w:rsidR="00341367" w:rsidRPr="00D878F6">
        <w:rPr>
          <w:rFonts w:ascii="Times New Roman" w:hAnsi="Times New Roman"/>
        </w:rPr>
        <w:t xml:space="preserve">w aktach wykonawczych </w:t>
      </w:r>
      <w:r w:rsidRPr="00D878F6">
        <w:rPr>
          <w:rFonts w:ascii="Times New Roman" w:hAnsi="Times New Roman"/>
        </w:rPr>
        <w:t>wyda</w:t>
      </w:r>
      <w:r w:rsidR="00341367" w:rsidRPr="00D878F6">
        <w:rPr>
          <w:rFonts w:ascii="Times New Roman" w:hAnsi="Times New Roman"/>
        </w:rPr>
        <w:t>wanych</w:t>
      </w:r>
      <w:r w:rsidRPr="00D878F6">
        <w:rPr>
          <w:rFonts w:ascii="Times New Roman" w:hAnsi="Times New Roman"/>
        </w:rPr>
        <w:t xml:space="preserve"> </w:t>
      </w:r>
      <w:r w:rsidR="00CB4517" w:rsidRPr="00D878F6">
        <w:rPr>
          <w:rFonts w:ascii="Times New Roman" w:hAnsi="Times New Roman"/>
        </w:rPr>
        <w:t>na podstawie ustawy</w:t>
      </w:r>
      <w:r w:rsidRPr="00D878F6">
        <w:rPr>
          <w:rFonts w:ascii="Times New Roman" w:hAnsi="Times New Roman"/>
        </w:rPr>
        <w:t xml:space="preserve"> o finansach publicznych (</w:t>
      </w:r>
      <w:r w:rsidR="00CB4517" w:rsidRPr="00D878F6">
        <w:rPr>
          <w:rFonts w:ascii="Times New Roman" w:hAnsi="Times New Roman"/>
        </w:rPr>
        <w:t xml:space="preserve">m.in. </w:t>
      </w:r>
      <w:r w:rsidRPr="00D878F6">
        <w:rPr>
          <w:rFonts w:ascii="Times New Roman" w:hAnsi="Times New Roman"/>
        </w:rPr>
        <w:t>rozporządzenia</w:t>
      </w:r>
      <w:r w:rsidR="00CB4517" w:rsidRPr="00D878F6">
        <w:rPr>
          <w:rFonts w:ascii="Times New Roman" w:hAnsi="Times New Roman"/>
        </w:rPr>
        <w:t xml:space="preserve"> Prezesa R</w:t>
      </w:r>
      <w:r w:rsidRPr="00D878F6">
        <w:rPr>
          <w:rFonts w:ascii="Times New Roman" w:hAnsi="Times New Roman"/>
        </w:rPr>
        <w:t>ady Ministrów i rozporządzenia</w:t>
      </w:r>
      <w:r w:rsidR="00CB4517" w:rsidRPr="00D878F6">
        <w:rPr>
          <w:rFonts w:ascii="Times New Roman" w:hAnsi="Times New Roman"/>
        </w:rPr>
        <w:t xml:space="preserve"> Rady Ministrów</w:t>
      </w:r>
      <w:r w:rsidRPr="00D878F6">
        <w:rPr>
          <w:rFonts w:ascii="Times New Roman" w:hAnsi="Times New Roman"/>
        </w:rPr>
        <w:t xml:space="preserve">), </w:t>
      </w:r>
      <w:r w:rsidR="00341367" w:rsidRPr="00D878F6">
        <w:rPr>
          <w:rFonts w:ascii="Times New Roman" w:hAnsi="Times New Roman"/>
        </w:rPr>
        <w:t>jak też na podstawie innych ustaw niż ustawa o finansach publicznych. N</w:t>
      </w:r>
      <w:r w:rsidRPr="00D878F6">
        <w:rPr>
          <w:rFonts w:ascii="Times New Roman" w:hAnsi="Times New Roman"/>
        </w:rPr>
        <w:t>a mocy</w:t>
      </w:r>
      <w:r w:rsidR="00341367" w:rsidRPr="00D878F6">
        <w:rPr>
          <w:rFonts w:ascii="Times New Roman" w:hAnsi="Times New Roman"/>
        </w:rPr>
        <w:t xml:space="preserve"> ww. aktów wykonawczych d</w:t>
      </w:r>
      <w:r w:rsidRPr="00D878F6">
        <w:rPr>
          <w:rFonts w:ascii="Times New Roman" w:hAnsi="Times New Roman"/>
        </w:rPr>
        <w:t>okonuje się przeniesień</w:t>
      </w:r>
      <w:r w:rsidR="00341367" w:rsidRPr="00D878F6">
        <w:rPr>
          <w:rFonts w:ascii="Times New Roman" w:hAnsi="Times New Roman"/>
        </w:rPr>
        <w:t xml:space="preserve"> planowanych dochodów i </w:t>
      </w:r>
      <w:r w:rsidR="00CB4517" w:rsidRPr="00D878F6">
        <w:rPr>
          <w:rFonts w:ascii="Times New Roman" w:hAnsi="Times New Roman"/>
        </w:rPr>
        <w:t>wydatków budżetowych m</w:t>
      </w:r>
      <w:r w:rsidRPr="00D878F6">
        <w:rPr>
          <w:rFonts w:ascii="Times New Roman" w:hAnsi="Times New Roman"/>
        </w:rPr>
        <w:t>iędzy częściami budżetu państwa.</w:t>
      </w:r>
      <w:r w:rsidR="00341367" w:rsidRPr="00D878F6">
        <w:rPr>
          <w:rFonts w:ascii="Times New Roman" w:hAnsi="Times New Roman"/>
        </w:rPr>
        <w:t xml:space="preserve"> Zapis ww. kwot wynikający z ustawy budżetowej to zapis w pełnych tysiącach złotych i zasadne jest, aby kwoty w aktach wykonawczych prezentowane były w analogiczny sposób.</w:t>
      </w:r>
      <w:r w:rsidR="00341367">
        <w:rPr>
          <w:rFonts w:ascii="Times New Roman" w:hAnsi="Times New Roman"/>
        </w:rPr>
        <w:t xml:space="preserve"> </w:t>
      </w:r>
    </w:p>
    <w:p w14:paraId="645F95DD" w14:textId="77777777" w:rsidR="00EE56E7" w:rsidRDefault="00EE56E7" w:rsidP="00C90852">
      <w:pPr>
        <w:spacing w:line="276" w:lineRule="auto"/>
        <w:jc w:val="both"/>
        <w:rPr>
          <w:rFonts w:ascii="Times New Roman" w:hAnsi="Times New Roman"/>
        </w:rPr>
      </w:pPr>
    </w:p>
    <w:p w14:paraId="2D9E9A00" w14:textId="77777777" w:rsidR="00CB4517" w:rsidRPr="008E5FB3" w:rsidRDefault="00CB4517" w:rsidP="00C90852">
      <w:pPr>
        <w:spacing w:line="276" w:lineRule="auto"/>
        <w:jc w:val="both"/>
        <w:rPr>
          <w:rFonts w:ascii="Times New Roman" w:hAnsi="Times New Roman"/>
        </w:rPr>
      </w:pPr>
    </w:p>
    <w:p w14:paraId="3886C386" w14:textId="052EDEDA"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lastRenderedPageBreak/>
        <w:t>zmian</w:t>
      </w:r>
      <w:r w:rsidR="009E6CBD">
        <w:rPr>
          <w:rFonts w:ascii="Times New Roman" w:hAnsi="Times New Roman"/>
          <w:b/>
          <w:i/>
        </w:rPr>
        <w:t>a</w:t>
      </w:r>
      <w:r w:rsidRPr="008E5FB3">
        <w:rPr>
          <w:rFonts w:ascii="Times New Roman" w:hAnsi="Times New Roman"/>
          <w:b/>
          <w:i/>
        </w:rPr>
        <w:t xml:space="preserve"> w art. 181</w:t>
      </w:r>
      <w:r w:rsidR="009E6CBD">
        <w:rPr>
          <w:rFonts w:ascii="Times New Roman" w:hAnsi="Times New Roman"/>
          <w:b/>
          <w:i/>
        </w:rPr>
        <w:t xml:space="preserve"> ust. 4 i uchylenie ust. 6 i 7</w:t>
      </w:r>
    </w:p>
    <w:p w14:paraId="2507C2A3" w14:textId="77777777" w:rsidR="00CB4517" w:rsidRPr="008E5FB3" w:rsidRDefault="00CB4517" w:rsidP="00C90852">
      <w:pPr>
        <w:spacing w:line="276" w:lineRule="auto"/>
        <w:jc w:val="both"/>
        <w:rPr>
          <w:rFonts w:ascii="Times New Roman" w:hAnsi="Times New Roman"/>
          <w:b/>
          <w:i/>
        </w:rPr>
      </w:pPr>
    </w:p>
    <w:p w14:paraId="35C2A601" w14:textId="77777777" w:rsidR="00CB4517" w:rsidRPr="008E5FB3" w:rsidRDefault="00CB4517" w:rsidP="00C90852">
      <w:pPr>
        <w:spacing w:line="276" w:lineRule="auto"/>
        <w:jc w:val="both"/>
        <w:rPr>
          <w:rFonts w:ascii="Times New Roman" w:hAnsi="Times New Roman"/>
        </w:rPr>
      </w:pPr>
      <w:r w:rsidRPr="008E5FB3">
        <w:rPr>
          <w:rFonts w:ascii="Times New Roman" w:hAnsi="Times New Roman"/>
        </w:rPr>
        <w:t>Zaproponowano doprecyzowanie brzmienia ust. 4 polegające na wskazaniu, że w wykazie, o którym mowa w ust. 2, nie mogą być ujęte wydatki, które w toku realizacji budżetu zostały zwiększone w trybie art. 171 ust. 3, art. 171 ust. 3 i 4 oraz art. 173 ust. 2.</w:t>
      </w:r>
    </w:p>
    <w:p w14:paraId="07675673" w14:textId="77777777" w:rsidR="00CB4517" w:rsidRPr="008E5FB3" w:rsidRDefault="00CB4517" w:rsidP="00C90852">
      <w:pPr>
        <w:spacing w:line="276" w:lineRule="auto"/>
        <w:jc w:val="both"/>
        <w:rPr>
          <w:rFonts w:ascii="Times New Roman" w:hAnsi="Times New Roman"/>
        </w:rPr>
      </w:pPr>
    </w:p>
    <w:p w14:paraId="226C2457" w14:textId="2791F50E" w:rsidR="00CB4517" w:rsidRPr="008E5FB3" w:rsidRDefault="00CB4517" w:rsidP="00C90852">
      <w:pPr>
        <w:spacing w:line="276" w:lineRule="auto"/>
        <w:jc w:val="both"/>
        <w:rPr>
          <w:rFonts w:ascii="Times New Roman" w:hAnsi="Times New Roman"/>
        </w:rPr>
      </w:pPr>
      <w:r w:rsidRPr="008E5FB3">
        <w:rPr>
          <w:rFonts w:ascii="Times New Roman" w:hAnsi="Times New Roman"/>
        </w:rPr>
        <w:t>Natomiast uchylenie ust. 6 i 7, wiąże się z tym, że zawarte w art. 181 ust. 6 i 7 wyjątki od ogólnej procedury dotyczącej środków niewygasających dotychczas nie miały zastosowania w praktyce. Pozostawienie środków na rachunkach bankowych dysponentów na wybrane zadania jest ponadto nieefektywne z punktu widzenia zarządzania płynnością budżetu państwa. W przypadku przekazania środków na subkonto centralne dotyczące środków niewygasających środki te mogą być lokowane w ramach elastycznego zarządzan</w:t>
      </w:r>
      <w:r w:rsidR="00844E5F">
        <w:rPr>
          <w:rFonts w:ascii="Times New Roman" w:hAnsi="Times New Roman"/>
        </w:rPr>
        <w:t>ia płynnością budżetu państwa. W</w:t>
      </w:r>
      <w:r w:rsidRPr="008E5FB3">
        <w:rPr>
          <w:rFonts w:ascii="Times New Roman" w:hAnsi="Times New Roman"/>
        </w:rPr>
        <w:t xml:space="preserve"> przypadku pozostawienia środków na rachunkach bankowych dysponentów będą to środki „zablokowane” z punku widzenia zarządzania budżetem państwa. Brak jest przy tym przeszkód, aby były uruchamiane na wniosek dysponenta, tak jak pozostałe środki na wydatki. Ujednolicenie procedury w tym zakresie jest zasadne – uprośc</w:t>
      </w:r>
      <w:r w:rsidR="005C1559">
        <w:rPr>
          <w:rFonts w:ascii="Times New Roman" w:hAnsi="Times New Roman"/>
        </w:rPr>
        <w:t>i również przepływ informacji i </w:t>
      </w:r>
      <w:r w:rsidRPr="008E5FB3">
        <w:rPr>
          <w:rFonts w:ascii="Times New Roman" w:hAnsi="Times New Roman"/>
        </w:rPr>
        <w:t>analizę wykorzystania środków niewygasających oraz sprawozdawczość.</w:t>
      </w:r>
    </w:p>
    <w:p w14:paraId="29BAD7AD" w14:textId="77777777" w:rsidR="00CB4517" w:rsidRPr="008E5FB3" w:rsidRDefault="00CB4517" w:rsidP="00C90852">
      <w:pPr>
        <w:spacing w:line="276" w:lineRule="auto"/>
        <w:jc w:val="both"/>
        <w:rPr>
          <w:rFonts w:ascii="Times New Roman" w:hAnsi="Times New Roman"/>
          <w:b/>
          <w:i/>
        </w:rPr>
      </w:pPr>
    </w:p>
    <w:p w14:paraId="7FF0D8EB" w14:textId="2C396A31"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t>uchylenie art. 183</w:t>
      </w:r>
    </w:p>
    <w:p w14:paraId="55BE9DBD" w14:textId="77777777" w:rsidR="00CB4517" w:rsidRPr="008E5FB3" w:rsidRDefault="00CB4517" w:rsidP="00C90852">
      <w:pPr>
        <w:spacing w:line="276" w:lineRule="auto"/>
        <w:jc w:val="both"/>
        <w:rPr>
          <w:rFonts w:ascii="Times New Roman" w:hAnsi="Times New Roman"/>
          <w:i/>
        </w:rPr>
      </w:pPr>
    </w:p>
    <w:p w14:paraId="704A3DAE" w14:textId="79CE27CE" w:rsidR="00965AA8" w:rsidRDefault="00CB4517" w:rsidP="00965AA8">
      <w:pPr>
        <w:spacing w:line="276" w:lineRule="auto"/>
        <w:jc w:val="both"/>
        <w:rPr>
          <w:rFonts w:ascii="Times New Roman" w:hAnsi="Times New Roman"/>
        </w:rPr>
      </w:pPr>
      <w:r w:rsidRPr="008E5FB3">
        <w:rPr>
          <w:rFonts w:ascii="Times New Roman" w:hAnsi="Times New Roman"/>
        </w:rPr>
        <w:t>Proponuje się u</w:t>
      </w:r>
      <w:r w:rsidR="00BA5CA2">
        <w:rPr>
          <w:rFonts w:ascii="Times New Roman" w:hAnsi="Times New Roman"/>
        </w:rPr>
        <w:t>chylenie</w:t>
      </w:r>
      <w:r w:rsidRPr="008E5FB3">
        <w:rPr>
          <w:rFonts w:ascii="Times New Roman" w:hAnsi="Times New Roman"/>
        </w:rPr>
        <w:t xml:space="preserve"> art. 183 ustawy o finansach publicznych, który zobowiązuje Ministra Finansów do przedstawiania sejmowej komisji właściwej do spraw budżetu i N</w:t>
      </w:r>
      <w:r w:rsidR="00BA5CA2">
        <w:rPr>
          <w:rFonts w:ascii="Times New Roman" w:hAnsi="Times New Roman"/>
        </w:rPr>
        <w:t xml:space="preserve">ajwyższej </w:t>
      </w:r>
      <w:r w:rsidRPr="008E5FB3">
        <w:rPr>
          <w:rFonts w:ascii="Times New Roman" w:hAnsi="Times New Roman"/>
        </w:rPr>
        <w:t>I</w:t>
      </w:r>
      <w:r w:rsidR="00BA5CA2">
        <w:rPr>
          <w:rFonts w:ascii="Times New Roman" w:hAnsi="Times New Roman"/>
        </w:rPr>
        <w:t xml:space="preserve">zbie </w:t>
      </w:r>
      <w:r w:rsidRPr="008E5FB3">
        <w:rPr>
          <w:rFonts w:ascii="Times New Roman" w:hAnsi="Times New Roman"/>
        </w:rPr>
        <w:t>K</w:t>
      </w:r>
      <w:r w:rsidR="00BA5CA2">
        <w:rPr>
          <w:rFonts w:ascii="Times New Roman" w:hAnsi="Times New Roman"/>
        </w:rPr>
        <w:t>ontroli</w:t>
      </w:r>
      <w:r w:rsidR="00844E5F">
        <w:rPr>
          <w:rFonts w:ascii="Times New Roman" w:hAnsi="Times New Roman"/>
        </w:rPr>
        <w:t xml:space="preserve"> </w:t>
      </w:r>
      <w:r w:rsidRPr="008E5FB3">
        <w:rPr>
          <w:rFonts w:ascii="Times New Roman" w:hAnsi="Times New Roman"/>
        </w:rPr>
        <w:t>„Informacji o przebiegu wykonania ustawy bud</w:t>
      </w:r>
      <w:r w:rsidR="00BA5CA2">
        <w:rPr>
          <w:rFonts w:ascii="Times New Roman" w:hAnsi="Times New Roman"/>
        </w:rPr>
        <w:t xml:space="preserve">żetowej za pierwsze półrocze” w terminie </w:t>
      </w:r>
      <w:r w:rsidRPr="008E5FB3">
        <w:rPr>
          <w:rFonts w:ascii="Times New Roman" w:hAnsi="Times New Roman"/>
        </w:rPr>
        <w:t xml:space="preserve">do 10 września. „Informacja o wykonaniu budżetu państwa” jest prezentowana i publikowana na bieżąco, co miesiąc, w formie „Komunikatu”, „Szacunkowych danych z wykonania budżetu państwa” oraz „Sprawozdań” za dany okres, na stronie internetowej Ministerstwa Finansów  </w:t>
      </w:r>
      <w:r w:rsidR="00BA5CA2">
        <w:rPr>
          <w:rFonts w:ascii="Times New Roman" w:hAnsi="Times New Roman"/>
        </w:rPr>
        <w:t xml:space="preserve">i </w:t>
      </w:r>
      <w:r w:rsidRPr="008E5FB3">
        <w:rPr>
          <w:rFonts w:ascii="Times New Roman" w:hAnsi="Times New Roman"/>
        </w:rPr>
        <w:t xml:space="preserve">jest ogólnodostępna. Komunikat przedstawia najbardziej aktualne dane o dochodach, wydatkach i poziomie deficytu/nadwyżki budżetu państwa, natomiast Szacunkowe dane i Sprawozdania z wykonania budżetu państwa prezentują szczegółowe zestawienia tabelaryczne w </w:t>
      </w:r>
      <w:r w:rsidR="00DD6039">
        <w:rPr>
          <w:rFonts w:ascii="Times New Roman" w:hAnsi="Times New Roman"/>
        </w:rPr>
        <w:t>ww.</w:t>
      </w:r>
      <w:r w:rsidRPr="008E5FB3">
        <w:rPr>
          <w:rFonts w:ascii="Times New Roman" w:hAnsi="Times New Roman"/>
        </w:rPr>
        <w:t xml:space="preserve"> zakresie. </w:t>
      </w:r>
      <w:r w:rsidR="00DD6039">
        <w:rPr>
          <w:rFonts w:ascii="Times New Roman" w:hAnsi="Times New Roman"/>
        </w:rPr>
        <w:t>Omówienie planów finansowych jednostek/</w:t>
      </w:r>
      <w:r w:rsidR="00965AA8" w:rsidRPr="00965AA8">
        <w:rPr>
          <w:rFonts w:ascii="Times New Roman" w:hAnsi="Times New Roman"/>
        </w:rPr>
        <w:t>instytucji pozabudżetowych</w:t>
      </w:r>
      <w:r w:rsidR="00DD6039">
        <w:rPr>
          <w:rFonts w:ascii="Times New Roman" w:hAnsi="Times New Roman"/>
        </w:rPr>
        <w:t xml:space="preserve"> nie stanowi materii Informacji</w:t>
      </w:r>
      <w:r w:rsidR="00965AA8" w:rsidRPr="00965AA8">
        <w:rPr>
          <w:rFonts w:ascii="Times New Roman" w:hAnsi="Times New Roman"/>
        </w:rPr>
        <w:t xml:space="preserve">. </w:t>
      </w:r>
    </w:p>
    <w:p w14:paraId="22C171BB" w14:textId="77777777" w:rsidR="00965AA8" w:rsidRDefault="00965AA8" w:rsidP="00965AA8">
      <w:pPr>
        <w:spacing w:line="276" w:lineRule="auto"/>
        <w:jc w:val="both"/>
        <w:rPr>
          <w:rFonts w:ascii="Times New Roman" w:hAnsi="Times New Roman"/>
        </w:rPr>
      </w:pPr>
    </w:p>
    <w:p w14:paraId="3099FB7D" w14:textId="375CEACE" w:rsidR="00CB4517" w:rsidRDefault="00CB4517" w:rsidP="00C90852">
      <w:pPr>
        <w:spacing w:line="276" w:lineRule="auto"/>
        <w:jc w:val="both"/>
        <w:rPr>
          <w:rFonts w:ascii="Times New Roman" w:hAnsi="Times New Roman"/>
        </w:rPr>
      </w:pPr>
      <w:r w:rsidRPr="008E5FB3">
        <w:rPr>
          <w:rFonts w:ascii="Times New Roman" w:hAnsi="Times New Roman"/>
        </w:rPr>
        <w:t xml:space="preserve">Należy </w:t>
      </w:r>
      <w:r w:rsidR="00DD6039">
        <w:rPr>
          <w:rFonts w:ascii="Times New Roman" w:hAnsi="Times New Roman"/>
        </w:rPr>
        <w:t xml:space="preserve">ponadto </w:t>
      </w:r>
      <w:r w:rsidRPr="008E5FB3">
        <w:rPr>
          <w:rFonts w:ascii="Times New Roman" w:hAnsi="Times New Roman"/>
        </w:rPr>
        <w:t xml:space="preserve">podkreślić, że realizacja obowiązku </w:t>
      </w:r>
      <w:r w:rsidR="00965AA8">
        <w:rPr>
          <w:rFonts w:ascii="Times New Roman" w:hAnsi="Times New Roman"/>
        </w:rPr>
        <w:t xml:space="preserve">z art. 183 </w:t>
      </w:r>
      <w:r w:rsidRPr="008E5FB3">
        <w:rPr>
          <w:rFonts w:ascii="Times New Roman" w:hAnsi="Times New Roman"/>
        </w:rPr>
        <w:t>n</w:t>
      </w:r>
      <w:r w:rsidR="00844E5F">
        <w:rPr>
          <w:rFonts w:ascii="Times New Roman" w:hAnsi="Times New Roman"/>
        </w:rPr>
        <w:t>ie jest bezpośrednio związana z </w:t>
      </w:r>
      <w:r w:rsidRPr="008E5FB3">
        <w:rPr>
          <w:rFonts w:ascii="Times New Roman" w:hAnsi="Times New Roman"/>
        </w:rPr>
        <w:t xml:space="preserve">realizacją przez Sejm RP kontroli wykonania ustawy budżetowej. </w:t>
      </w:r>
      <w:r w:rsidR="00844E5F">
        <w:rPr>
          <w:rFonts w:ascii="Times New Roman" w:hAnsi="Times New Roman"/>
        </w:rPr>
        <w:t>N</w:t>
      </w:r>
      <w:r w:rsidRPr="008E5FB3">
        <w:rPr>
          <w:rFonts w:ascii="Times New Roman" w:hAnsi="Times New Roman"/>
        </w:rPr>
        <w:t>ie jest</w:t>
      </w:r>
      <w:r w:rsidR="00844E5F">
        <w:rPr>
          <w:rFonts w:ascii="Times New Roman" w:hAnsi="Times New Roman"/>
        </w:rPr>
        <w:t xml:space="preserve"> także</w:t>
      </w:r>
      <w:r w:rsidRPr="008E5FB3">
        <w:rPr>
          <w:rFonts w:ascii="Times New Roman" w:hAnsi="Times New Roman"/>
        </w:rPr>
        <w:t xml:space="preserve"> podstawą oceny, ani tym bardziej form</w:t>
      </w:r>
      <w:r w:rsidR="000926CE">
        <w:rPr>
          <w:rFonts w:ascii="Times New Roman" w:hAnsi="Times New Roman"/>
        </w:rPr>
        <w:t>ą</w:t>
      </w:r>
      <w:r w:rsidRPr="008E5FB3">
        <w:rPr>
          <w:rFonts w:ascii="Times New Roman" w:hAnsi="Times New Roman"/>
        </w:rPr>
        <w:t xml:space="preserve"> udzielenia absolutorium z wykonania ustawy budżetowej za pierwsze półrocze. Ob</w:t>
      </w:r>
      <w:r w:rsidR="00844E5F">
        <w:rPr>
          <w:rFonts w:ascii="Times New Roman" w:hAnsi="Times New Roman"/>
        </w:rPr>
        <w:t>ecnie, w dobie informatyzacji i </w:t>
      </w:r>
      <w:r w:rsidRPr="008E5FB3">
        <w:rPr>
          <w:rFonts w:ascii="Times New Roman" w:hAnsi="Times New Roman"/>
        </w:rPr>
        <w:t xml:space="preserve">cyfryzacji, z uwagi na </w:t>
      </w:r>
      <w:r w:rsidR="00740754" w:rsidRPr="008E5FB3">
        <w:rPr>
          <w:rFonts w:ascii="Times New Roman" w:hAnsi="Times New Roman"/>
        </w:rPr>
        <w:t>comiesięczne</w:t>
      </w:r>
      <w:r w:rsidR="00740754">
        <w:rPr>
          <w:rFonts w:ascii="Times New Roman" w:hAnsi="Times New Roman"/>
        </w:rPr>
        <w:t>,</w:t>
      </w:r>
      <w:r w:rsidR="00740754" w:rsidRPr="008E5FB3">
        <w:rPr>
          <w:rFonts w:ascii="Times New Roman" w:hAnsi="Times New Roman"/>
        </w:rPr>
        <w:t xml:space="preserve"> </w:t>
      </w:r>
      <w:r w:rsidR="00740754">
        <w:rPr>
          <w:rFonts w:ascii="Times New Roman" w:hAnsi="Times New Roman"/>
        </w:rPr>
        <w:t>bieżące</w:t>
      </w:r>
      <w:r w:rsidRPr="008E5FB3">
        <w:rPr>
          <w:rFonts w:ascii="Times New Roman" w:hAnsi="Times New Roman"/>
        </w:rPr>
        <w:t xml:space="preserve"> prezentowanie danych o wykonaniu ustawy budżetowej </w:t>
      </w:r>
      <w:r w:rsidR="00844E5F">
        <w:rPr>
          <w:rFonts w:ascii="Times New Roman" w:hAnsi="Times New Roman"/>
        </w:rPr>
        <w:t>przepis stracił swoje znaczenie i tym samym stał</w:t>
      </w:r>
      <w:r w:rsidRPr="008E5FB3">
        <w:rPr>
          <w:rFonts w:ascii="Times New Roman" w:hAnsi="Times New Roman"/>
        </w:rPr>
        <w:t xml:space="preserve"> się zbędny.</w:t>
      </w:r>
      <w:r w:rsidR="00965AA8">
        <w:rPr>
          <w:rFonts w:ascii="Times New Roman" w:hAnsi="Times New Roman"/>
        </w:rPr>
        <w:t xml:space="preserve"> </w:t>
      </w:r>
    </w:p>
    <w:p w14:paraId="2572F307" w14:textId="77777777" w:rsidR="005C1559" w:rsidRPr="008E5FB3" w:rsidRDefault="005C1559" w:rsidP="00C90852">
      <w:pPr>
        <w:spacing w:line="276" w:lineRule="auto"/>
        <w:jc w:val="both"/>
        <w:rPr>
          <w:rFonts w:ascii="Times New Roman" w:hAnsi="Times New Roman"/>
        </w:rPr>
      </w:pPr>
    </w:p>
    <w:p w14:paraId="1E51C1B4" w14:textId="5E62F6C0"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t>zmiana w art. 192 ust. 1, art. 208</w:t>
      </w:r>
      <w:r w:rsidR="009E6CBD">
        <w:rPr>
          <w:rFonts w:ascii="Times New Roman" w:hAnsi="Times New Roman"/>
          <w:b/>
          <w:i/>
        </w:rPr>
        <w:t xml:space="preserve"> ust. 2 i 3, uchylenie ust. 4</w:t>
      </w:r>
      <w:r w:rsidRPr="008E5FB3">
        <w:rPr>
          <w:rFonts w:ascii="Times New Roman" w:hAnsi="Times New Roman"/>
          <w:b/>
          <w:i/>
        </w:rPr>
        <w:t xml:space="preserve"> oraz art. 209 ust. 1</w:t>
      </w:r>
    </w:p>
    <w:p w14:paraId="4180E152" w14:textId="77777777" w:rsidR="00CB4517" w:rsidRPr="008E5FB3" w:rsidRDefault="00CB4517" w:rsidP="00C90852">
      <w:pPr>
        <w:spacing w:line="276" w:lineRule="auto"/>
        <w:jc w:val="both"/>
        <w:rPr>
          <w:rFonts w:ascii="Times New Roman" w:hAnsi="Times New Roman"/>
          <w:b/>
          <w:i/>
        </w:rPr>
      </w:pPr>
    </w:p>
    <w:p w14:paraId="0850D2D8" w14:textId="07D5D3D4" w:rsidR="00CB4517" w:rsidRPr="008E5FB3" w:rsidRDefault="00CB4517" w:rsidP="00C90852">
      <w:pPr>
        <w:spacing w:line="276" w:lineRule="auto"/>
        <w:jc w:val="both"/>
        <w:rPr>
          <w:rFonts w:ascii="Times New Roman" w:hAnsi="Times New Roman"/>
        </w:rPr>
      </w:pPr>
      <w:r w:rsidRPr="008E5FB3">
        <w:rPr>
          <w:rFonts w:ascii="Times New Roman" w:hAnsi="Times New Roman"/>
        </w:rPr>
        <w:t>W art. 192 i w art. 209 propon</w:t>
      </w:r>
      <w:r w:rsidR="00844E5F">
        <w:rPr>
          <w:rFonts w:ascii="Times New Roman" w:hAnsi="Times New Roman"/>
        </w:rPr>
        <w:t xml:space="preserve">uje się zmianę brzmienia ust. 1 </w:t>
      </w:r>
      <w:r w:rsidR="00974A1D">
        <w:rPr>
          <w:rFonts w:ascii="Times New Roman" w:hAnsi="Times New Roman"/>
        </w:rPr>
        <w:t>a</w:t>
      </w:r>
      <w:r w:rsidRPr="008E5FB3">
        <w:rPr>
          <w:rFonts w:ascii="Times New Roman" w:hAnsi="Times New Roman"/>
        </w:rPr>
        <w:t xml:space="preserve"> w art. 208 ust. 2 i 3. Propozycja zmiany wynika ze zniesienia z dniem 31 sierpnia 2017 r. ARR. Obecnie jedyną agencją </w:t>
      </w:r>
      <w:r w:rsidRPr="008E5FB3">
        <w:rPr>
          <w:rFonts w:ascii="Times New Roman" w:hAnsi="Times New Roman"/>
        </w:rPr>
        <w:lastRenderedPageBreak/>
        <w:t xml:space="preserve">obsługującą środki wspólnej polityki rolnej w Polsce jest ARiMR. </w:t>
      </w:r>
      <w:r w:rsidR="000D45D4">
        <w:rPr>
          <w:rFonts w:ascii="Times New Roman" w:hAnsi="Times New Roman"/>
        </w:rPr>
        <w:t xml:space="preserve">Ponadto ujednolicono </w:t>
      </w:r>
      <w:r w:rsidR="000D45D4" w:rsidRPr="000D45D4">
        <w:rPr>
          <w:rFonts w:ascii="Times New Roman" w:hAnsi="Times New Roman"/>
        </w:rPr>
        <w:t>pisowni</w:t>
      </w:r>
      <w:r w:rsidR="000D45D4">
        <w:rPr>
          <w:rFonts w:ascii="Times New Roman" w:hAnsi="Times New Roman"/>
        </w:rPr>
        <w:t>ę</w:t>
      </w:r>
      <w:r w:rsidR="000D45D4" w:rsidRPr="000D45D4">
        <w:rPr>
          <w:rFonts w:ascii="Times New Roman" w:hAnsi="Times New Roman"/>
        </w:rPr>
        <w:t xml:space="preserve"> wspólnej polityki rolnej – małą literą.</w:t>
      </w:r>
    </w:p>
    <w:p w14:paraId="1FB569F5" w14:textId="77777777" w:rsidR="00CB4517" w:rsidRPr="008E5FB3" w:rsidRDefault="00CB4517" w:rsidP="00C90852">
      <w:pPr>
        <w:spacing w:line="276" w:lineRule="auto"/>
        <w:jc w:val="both"/>
        <w:rPr>
          <w:rFonts w:ascii="Times New Roman" w:hAnsi="Times New Roman"/>
        </w:rPr>
      </w:pPr>
    </w:p>
    <w:p w14:paraId="0DAEAC68" w14:textId="7BD8DD04" w:rsidR="00CB4517" w:rsidRPr="008E5FB3" w:rsidRDefault="00CB4517" w:rsidP="00C90852">
      <w:pPr>
        <w:spacing w:line="276" w:lineRule="auto"/>
        <w:jc w:val="both"/>
        <w:rPr>
          <w:rFonts w:ascii="Times New Roman" w:hAnsi="Times New Roman"/>
        </w:rPr>
      </w:pPr>
      <w:r w:rsidRPr="008E5FB3">
        <w:rPr>
          <w:rFonts w:ascii="Times New Roman" w:hAnsi="Times New Roman"/>
        </w:rPr>
        <w:t>N</w:t>
      </w:r>
      <w:r w:rsidR="00844E5F">
        <w:rPr>
          <w:rFonts w:ascii="Times New Roman" w:hAnsi="Times New Roman"/>
        </w:rPr>
        <w:t xml:space="preserve">atomiast uchylenie regulacji </w:t>
      </w:r>
      <w:r w:rsidRPr="008E5FB3">
        <w:rPr>
          <w:rFonts w:ascii="Times New Roman" w:hAnsi="Times New Roman"/>
        </w:rPr>
        <w:t>art. 208 ust. 4 wynika z faktu, że zgodnie z art. 11 ustawy z dnia 27 maja 2015 r. o finansowaniu wspólnej polityki rolnej (Dz. U. z 2018 r. poz. 719) finansowanie wyprzedzające w ramach wspólnej polityki rolnej, o którym mowa w ww. artykule, jest realizowane w ramach środków zaplanowanych w budżecie państwa, a nie budżecie środków europejskich i przekazywanie ich do dyspozycji dysponentów nie odbywa się już na podstawie dyspozycji Ministra Finansów składanych w BGK.</w:t>
      </w:r>
    </w:p>
    <w:p w14:paraId="0118C171" w14:textId="77777777" w:rsidR="00CB4517" w:rsidRPr="008E5FB3" w:rsidRDefault="00CB4517" w:rsidP="00C90852">
      <w:pPr>
        <w:spacing w:line="276" w:lineRule="auto"/>
        <w:jc w:val="both"/>
        <w:rPr>
          <w:rFonts w:ascii="Times New Roman" w:hAnsi="Times New Roman"/>
        </w:rPr>
      </w:pPr>
    </w:p>
    <w:p w14:paraId="2DC1AD3F" w14:textId="15A11B7D"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t xml:space="preserve">zmiana w art. 196 </w:t>
      </w:r>
      <w:r w:rsidR="009E6CBD">
        <w:rPr>
          <w:rFonts w:ascii="Times New Roman" w:hAnsi="Times New Roman"/>
          <w:b/>
          <w:i/>
        </w:rPr>
        <w:t>ust. 3</w:t>
      </w:r>
    </w:p>
    <w:p w14:paraId="7A200F45" w14:textId="77777777" w:rsidR="00CB4517" w:rsidRPr="008E5FB3" w:rsidRDefault="00CB4517" w:rsidP="00C90852">
      <w:pPr>
        <w:spacing w:line="276" w:lineRule="auto"/>
        <w:jc w:val="both"/>
        <w:rPr>
          <w:rFonts w:ascii="Times New Roman" w:hAnsi="Times New Roman"/>
          <w:b/>
          <w:i/>
        </w:rPr>
      </w:pPr>
    </w:p>
    <w:p w14:paraId="3AF6B70D" w14:textId="77777777" w:rsidR="00CB4517" w:rsidRPr="008E5FB3" w:rsidRDefault="00CB4517" w:rsidP="00C90852">
      <w:pPr>
        <w:spacing w:line="276" w:lineRule="auto"/>
        <w:jc w:val="both"/>
        <w:rPr>
          <w:rFonts w:ascii="Times New Roman" w:hAnsi="Times New Roman"/>
        </w:rPr>
      </w:pPr>
      <w:r w:rsidRPr="008E5FB3">
        <w:rPr>
          <w:rFonts w:ascii="Times New Roman" w:hAnsi="Times New Roman"/>
        </w:rPr>
        <w:t>Zmiana w ust. 3 ma charakter doprecyzowujący i polega na dodaniu do katalogu rachunków bankowych, również rachunków budżetu środków europejskich. Zmiana stanowi uzupełnienie regulacji wprowadzonej wcześniej do artykułu 196 (ust. 2a), poprzez wskazanie podmiotu upoważnionego do dokonania wyboru</w:t>
      </w:r>
      <w:r w:rsidRPr="008E5FB3">
        <w:rPr>
          <w:rFonts w:ascii="Times New Roman" w:eastAsia="Calibri" w:hAnsi="Times New Roman"/>
        </w:rPr>
        <w:t xml:space="preserve"> </w:t>
      </w:r>
      <w:r w:rsidRPr="008E5FB3">
        <w:rPr>
          <w:rFonts w:ascii="Times New Roman" w:hAnsi="Times New Roman"/>
        </w:rPr>
        <w:t>banku prowadzącego rachunki budżetu środków europejskich.</w:t>
      </w:r>
    </w:p>
    <w:p w14:paraId="25D93C06" w14:textId="77777777" w:rsidR="00CB4517" w:rsidRPr="008E5FB3" w:rsidRDefault="00CB4517" w:rsidP="00C90852">
      <w:pPr>
        <w:spacing w:line="276" w:lineRule="auto"/>
        <w:jc w:val="both"/>
        <w:rPr>
          <w:rFonts w:ascii="Times New Roman" w:hAnsi="Times New Roman"/>
        </w:rPr>
      </w:pPr>
    </w:p>
    <w:p w14:paraId="19E084E7" w14:textId="72280292" w:rsidR="00CB4517" w:rsidRPr="008E5FB3" w:rsidRDefault="00CB4517" w:rsidP="00C90852">
      <w:pPr>
        <w:spacing w:line="276" w:lineRule="auto"/>
        <w:jc w:val="both"/>
        <w:rPr>
          <w:rFonts w:ascii="Times New Roman" w:hAnsi="Times New Roman"/>
          <w:b/>
          <w:i/>
        </w:rPr>
      </w:pPr>
      <w:r w:rsidRPr="008E5FB3">
        <w:rPr>
          <w:rFonts w:ascii="Times New Roman" w:hAnsi="Times New Roman"/>
          <w:b/>
          <w:i/>
        </w:rPr>
        <w:t>zmian</w:t>
      </w:r>
      <w:r w:rsidR="009E6CBD">
        <w:rPr>
          <w:rFonts w:ascii="Times New Roman" w:hAnsi="Times New Roman"/>
          <w:b/>
          <w:i/>
        </w:rPr>
        <w:t>a</w:t>
      </w:r>
      <w:r w:rsidRPr="008E5FB3">
        <w:rPr>
          <w:rFonts w:ascii="Times New Roman" w:hAnsi="Times New Roman"/>
          <w:b/>
          <w:i/>
        </w:rPr>
        <w:t xml:space="preserve"> w art. 203</w:t>
      </w:r>
      <w:r w:rsidR="009E6CBD">
        <w:rPr>
          <w:rFonts w:ascii="Times New Roman" w:hAnsi="Times New Roman"/>
          <w:b/>
          <w:i/>
        </w:rPr>
        <w:t>, dodanie ust. 2</w:t>
      </w:r>
    </w:p>
    <w:p w14:paraId="555759C6" w14:textId="77777777" w:rsidR="00CB4517" w:rsidRPr="008E5FB3" w:rsidRDefault="00CB4517" w:rsidP="00C90852">
      <w:pPr>
        <w:spacing w:line="276" w:lineRule="auto"/>
        <w:jc w:val="both"/>
        <w:rPr>
          <w:rFonts w:ascii="Times New Roman" w:hAnsi="Times New Roman"/>
          <w:b/>
          <w:i/>
        </w:rPr>
      </w:pPr>
    </w:p>
    <w:p w14:paraId="60C064CB" w14:textId="10E203C9" w:rsidR="005C1559" w:rsidRPr="008E5FB3" w:rsidRDefault="00CB4517" w:rsidP="00C90852">
      <w:pPr>
        <w:spacing w:line="276" w:lineRule="auto"/>
        <w:jc w:val="both"/>
        <w:rPr>
          <w:rFonts w:ascii="Times New Roman" w:hAnsi="Times New Roman"/>
        </w:rPr>
      </w:pPr>
      <w:r w:rsidRPr="008E5FB3">
        <w:rPr>
          <w:rFonts w:ascii="Times New Roman" w:hAnsi="Times New Roman"/>
        </w:rPr>
        <w:t xml:space="preserve">Zmiana ma na celu doprecyzowanie, podobnie jak przepis art. 202 w stosunku do środków, </w:t>
      </w:r>
      <w:r w:rsidRPr="008E5FB3">
        <w:rPr>
          <w:rFonts w:ascii="Times New Roman" w:hAnsi="Times New Roman"/>
        </w:rPr>
        <w:br/>
        <w:t xml:space="preserve">o których mowa w art. 5 ust. 1 pkt 2, kwestii gromadzenia środków, o których mowa w art. 5 ust. 1 pkt 3, na rachunkach bankowych. Regulacja ma związek ze zmianą wprowadzoną </w:t>
      </w:r>
      <w:r w:rsidRPr="008E5FB3">
        <w:rPr>
          <w:rFonts w:ascii="Times New Roman" w:hAnsi="Times New Roman"/>
        </w:rPr>
        <w:br/>
        <w:t>w art. 111 pkt 16.</w:t>
      </w:r>
    </w:p>
    <w:p w14:paraId="12CE290E" w14:textId="77777777" w:rsidR="008650E5" w:rsidRPr="008E5FB3" w:rsidRDefault="008650E5" w:rsidP="00C90852">
      <w:pPr>
        <w:spacing w:line="276" w:lineRule="auto"/>
        <w:jc w:val="both"/>
        <w:rPr>
          <w:rFonts w:ascii="Times New Roman" w:hAnsi="Times New Roman"/>
        </w:rPr>
      </w:pPr>
    </w:p>
    <w:p w14:paraId="22E0FF89" w14:textId="77777777" w:rsidR="00B97DA8" w:rsidRPr="008E5FB3" w:rsidRDefault="00821096" w:rsidP="00C90852">
      <w:pPr>
        <w:spacing w:after="200" w:line="276" w:lineRule="auto"/>
        <w:jc w:val="both"/>
        <w:rPr>
          <w:rFonts w:ascii="Times New Roman" w:eastAsia="Times New Roman" w:hAnsi="Times New Roman"/>
          <w:b/>
          <w:bCs/>
          <w:u w:val="single"/>
          <w:lang w:eastAsia="pl-PL"/>
        </w:rPr>
      </w:pPr>
      <w:r w:rsidRPr="008E5FB3">
        <w:rPr>
          <w:rFonts w:ascii="Times New Roman" w:eastAsia="Times New Roman" w:hAnsi="Times New Roman"/>
          <w:b/>
          <w:bCs/>
          <w:u w:val="single"/>
          <w:lang w:eastAsia="pl-PL"/>
        </w:rPr>
        <w:t>Zmiany</w:t>
      </w:r>
      <w:r w:rsidR="00557993" w:rsidRPr="008E5FB3">
        <w:rPr>
          <w:rFonts w:ascii="Times New Roman" w:eastAsia="Times New Roman" w:hAnsi="Times New Roman"/>
          <w:b/>
          <w:bCs/>
          <w:u w:val="single"/>
          <w:lang w:eastAsia="pl-PL"/>
        </w:rPr>
        <w:t xml:space="preserve"> w przepisach</w:t>
      </w:r>
      <w:r w:rsidRPr="008E5FB3">
        <w:rPr>
          <w:rFonts w:ascii="Times New Roman" w:eastAsia="Times New Roman" w:hAnsi="Times New Roman"/>
          <w:b/>
          <w:bCs/>
          <w:u w:val="single"/>
          <w:lang w:eastAsia="pl-PL"/>
        </w:rPr>
        <w:t xml:space="preserve"> innych ustaw</w:t>
      </w:r>
    </w:p>
    <w:p w14:paraId="4637430F" w14:textId="3BB591B2" w:rsidR="00682410" w:rsidRDefault="00682410" w:rsidP="00C90852">
      <w:pPr>
        <w:spacing w:line="276" w:lineRule="auto"/>
        <w:jc w:val="both"/>
        <w:rPr>
          <w:rFonts w:ascii="Times New Roman" w:hAnsi="Times New Roman"/>
        </w:rPr>
      </w:pPr>
      <w:r w:rsidRPr="008E5FB3">
        <w:rPr>
          <w:rFonts w:ascii="Times New Roman" w:hAnsi="Times New Roman"/>
        </w:rPr>
        <w:t xml:space="preserve">W art. </w:t>
      </w:r>
      <w:r>
        <w:rPr>
          <w:rFonts w:ascii="Times New Roman" w:hAnsi="Times New Roman"/>
        </w:rPr>
        <w:t>2</w:t>
      </w:r>
      <w:r w:rsidRPr="008E5FB3">
        <w:rPr>
          <w:rFonts w:ascii="Times New Roman" w:hAnsi="Times New Roman"/>
        </w:rPr>
        <w:t xml:space="preserve"> dokonano zmiany brzmienia art. 492 § 1, art.  582</w:t>
      </w:r>
      <w:r w:rsidRPr="008E5FB3">
        <w:rPr>
          <w:rFonts w:ascii="Times New Roman" w:hAnsi="Times New Roman"/>
          <w:vertAlign w:val="superscript"/>
        </w:rPr>
        <w:t>1</w:t>
      </w:r>
      <w:r w:rsidRPr="008E5FB3">
        <w:rPr>
          <w:rFonts w:ascii="Times New Roman" w:hAnsi="Times New Roman"/>
        </w:rPr>
        <w:t xml:space="preserve"> § 2 pkt 2, art. 693</w:t>
      </w:r>
      <w:r w:rsidRPr="008E5FB3">
        <w:rPr>
          <w:rFonts w:ascii="Times New Roman" w:hAnsi="Times New Roman"/>
          <w:vertAlign w:val="superscript"/>
        </w:rPr>
        <w:t>2</w:t>
      </w:r>
      <w:r w:rsidRPr="008E5FB3">
        <w:rPr>
          <w:rFonts w:ascii="Times New Roman" w:hAnsi="Times New Roman"/>
        </w:rPr>
        <w:t xml:space="preserve"> § 3, art. 693</w:t>
      </w:r>
      <w:r w:rsidRPr="008E5FB3">
        <w:rPr>
          <w:rFonts w:ascii="Times New Roman" w:hAnsi="Times New Roman"/>
          <w:vertAlign w:val="superscript"/>
        </w:rPr>
        <w:t>6</w:t>
      </w:r>
      <w:r w:rsidRPr="008E5FB3">
        <w:rPr>
          <w:rFonts w:ascii="Times New Roman" w:hAnsi="Times New Roman"/>
        </w:rPr>
        <w:t xml:space="preserve"> § 1 pkt 1,  w art. 693</w:t>
      </w:r>
      <w:r w:rsidRPr="008E5FB3">
        <w:rPr>
          <w:rFonts w:ascii="Times New Roman" w:hAnsi="Times New Roman"/>
          <w:vertAlign w:val="superscript"/>
        </w:rPr>
        <w:t>9</w:t>
      </w:r>
      <w:r w:rsidRPr="008E5FB3">
        <w:rPr>
          <w:rFonts w:ascii="Times New Roman" w:hAnsi="Times New Roman"/>
        </w:rPr>
        <w:t xml:space="preserve"> § 2, w art. 736 § 4, w art. 742 § 1 i 4, w art. 751 § 4, w art. 752 § 1, w</w:t>
      </w:r>
      <w:r w:rsidR="00EC4DAF">
        <w:rPr>
          <w:rFonts w:ascii="Times New Roman" w:hAnsi="Times New Roman"/>
        </w:rPr>
        <w:t> </w:t>
      </w:r>
      <w:r w:rsidRPr="008E5FB3">
        <w:rPr>
          <w:rFonts w:ascii="Times New Roman" w:hAnsi="Times New Roman"/>
        </w:rPr>
        <w:t>art.</w:t>
      </w:r>
      <w:r w:rsidR="00EC4DAF">
        <w:rPr>
          <w:rFonts w:ascii="Times New Roman" w:hAnsi="Times New Roman"/>
        </w:rPr>
        <w:t> </w:t>
      </w:r>
      <w:r w:rsidRPr="008E5FB3">
        <w:rPr>
          <w:rFonts w:ascii="Times New Roman" w:hAnsi="Times New Roman"/>
        </w:rPr>
        <w:t>752</w:t>
      </w:r>
      <w:r w:rsidRPr="0005584C">
        <w:rPr>
          <w:rFonts w:ascii="Times New Roman" w:hAnsi="Times New Roman"/>
          <w:vertAlign w:val="superscript"/>
        </w:rPr>
        <w:t>1</w:t>
      </w:r>
      <w:r w:rsidRPr="008E5FB3">
        <w:rPr>
          <w:rFonts w:ascii="Times New Roman" w:hAnsi="Times New Roman"/>
        </w:rPr>
        <w:t xml:space="preserve"> § 1, w art. 752</w:t>
      </w:r>
      <w:r w:rsidRPr="0005584C">
        <w:rPr>
          <w:rFonts w:ascii="Times New Roman" w:hAnsi="Times New Roman"/>
          <w:vertAlign w:val="superscript"/>
        </w:rPr>
        <w:t>2</w:t>
      </w:r>
      <w:r w:rsidRPr="008E5FB3">
        <w:rPr>
          <w:rFonts w:ascii="Times New Roman" w:hAnsi="Times New Roman"/>
        </w:rPr>
        <w:t xml:space="preserve"> § 3,  w art. 755</w:t>
      </w:r>
      <w:r w:rsidRPr="0005584C">
        <w:rPr>
          <w:rFonts w:ascii="Times New Roman" w:hAnsi="Times New Roman"/>
          <w:vertAlign w:val="superscript"/>
        </w:rPr>
        <w:t>1</w:t>
      </w:r>
      <w:r w:rsidRPr="008E5FB3">
        <w:rPr>
          <w:rFonts w:ascii="Times New Roman" w:hAnsi="Times New Roman"/>
        </w:rPr>
        <w:t>, w art. 807 § 1, w art. 808</w:t>
      </w:r>
      <w:r>
        <w:rPr>
          <w:rFonts w:ascii="Times New Roman" w:hAnsi="Times New Roman"/>
        </w:rPr>
        <w:t xml:space="preserve"> § 1 i 2, w art. 852 § 1 i</w:t>
      </w:r>
      <w:r w:rsidR="00EC4DAF">
        <w:rPr>
          <w:rFonts w:ascii="Times New Roman" w:hAnsi="Times New Roman"/>
        </w:rPr>
        <w:t> </w:t>
      </w:r>
      <w:r>
        <w:rPr>
          <w:rFonts w:ascii="Times New Roman" w:hAnsi="Times New Roman"/>
        </w:rPr>
        <w:t>2, w </w:t>
      </w:r>
      <w:r w:rsidRPr="008E5FB3">
        <w:rPr>
          <w:rFonts w:ascii="Times New Roman" w:hAnsi="Times New Roman"/>
        </w:rPr>
        <w:t>art. 862 § 1, w art. 883 § 2, w art. 896 § 1 pkt 2, w art. 910 § 1 pkt 2, w art. 911</w:t>
      </w:r>
      <w:r w:rsidRPr="0005584C">
        <w:rPr>
          <w:rFonts w:ascii="Times New Roman" w:hAnsi="Times New Roman"/>
          <w:vertAlign w:val="superscript"/>
        </w:rPr>
        <w:t>8</w:t>
      </w:r>
      <w:r w:rsidR="005C1559">
        <w:rPr>
          <w:rFonts w:ascii="Times New Roman" w:hAnsi="Times New Roman"/>
        </w:rPr>
        <w:t xml:space="preserve"> § 1 pkt 2, w </w:t>
      </w:r>
      <w:r w:rsidRPr="008E5FB3">
        <w:rPr>
          <w:rFonts w:ascii="Times New Roman" w:hAnsi="Times New Roman"/>
        </w:rPr>
        <w:t>art. 941, w art. 967, w art. 1003 § 2, w art. 1024 § 1 pkt 4, w art. 1029 § 1, w art. 1030, w</w:t>
      </w:r>
      <w:r w:rsidR="00EC4DAF">
        <w:rPr>
          <w:rFonts w:ascii="Times New Roman" w:hAnsi="Times New Roman"/>
        </w:rPr>
        <w:t> </w:t>
      </w:r>
      <w:r w:rsidR="005C1559">
        <w:rPr>
          <w:rFonts w:ascii="Times New Roman" w:hAnsi="Times New Roman"/>
        </w:rPr>
        <w:t>art. </w:t>
      </w:r>
      <w:r w:rsidRPr="008E5FB3">
        <w:rPr>
          <w:rFonts w:ascii="Times New Roman" w:hAnsi="Times New Roman"/>
        </w:rPr>
        <w:t>1031, w art. 1032 § 1, w art. 1033 § 1, w art. 1034, w art. 1036 § 2, w art. 1038 § 1, w</w:t>
      </w:r>
      <w:r w:rsidR="00EC4DAF">
        <w:rPr>
          <w:rFonts w:ascii="Times New Roman" w:hAnsi="Times New Roman"/>
        </w:rPr>
        <w:t> </w:t>
      </w:r>
      <w:r w:rsidRPr="008E5FB3">
        <w:rPr>
          <w:rFonts w:ascii="Times New Roman" w:hAnsi="Times New Roman"/>
        </w:rPr>
        <w:t>art. 1040, w</w:t>
      </w:r>
      <w:r w:rsidR="00B42069">
        <w:rPr>
          <w:rFonts w:ascii="Times New Roman" w:hAnsi="Times New Roman"/>
        </w:rPr>
        <w:t> </w:t>
      </w:r>
      <w:r w:rsidRPr="008E5FB3">
        <w:rPr>
          <w:rFonts w:ascii="Times New Roman" w:hAnsi="Times New Roman"/>
        </w:rPr>
        <w:t>art. 1064</w:t>
      </w:r>
      <w:r w:rsidRPr="0005584C">
        <w:rPr>
          <w:rFonts w:ascii="Times New Roman" w:hAnsi="Times New Roman"/>
          <w:vertAlign w:val="superscript"/>
        </w:rPr>
        <w:t xml:space="preserve">11 </w:t>
      </w:r>
      <w:r w:rsidRPr="008E5FB3">
        <w:rPr>
          <w:rFonts w:ascii="Times New Roman" w:hAnsi="Times New Roman"/>
        </w:rPr>
        <w:t>§ 3, w art. 1083 § 4 oraz w art. 1123 § 3 ustawy Kodeks postępowania cywilnego</w:t>
      </w:r>
      <w:r w:rsidR="00EC4DAF">
        <w:rPr>
          <w:rFonts w:ascii="Times New Roman" w:hAnsi="Times New Roman"/>
        </w:rPr>
        <w:t xml:space="preserve"> </w:t>
      </w:r>
      <w:r w:rsidRPr="008E5FB3">
        <w:rPr>
          <w:rFonts w:ascii="Times New Roman" w:hAnsi="Times New Roman"/>
        </w:rPr>
        <w:t>w różnych przypadkach wyrazy „rachunek depozytowy Ministra Finansów” zastąpiono użytymi w odpowiednim przypadku wyrazami „rachunek depozytowy Skarbu Państwa”.</w:t>
      </w:r>
    </w:p>
    <w:p w14:paraId="4BC2B743" w14:textId="77777777" w:rsidR="009346B0" w:rsidRDefault="009346B0" w:rsidP="00C90852">
      <w:pPr>
        <w:spacing w:line="276" w:lineRule="auto"/>
        <w:jc w:val="both"/>
        <w:rPr>
          <w:rFonts w:ascii="Times New Roman" w:hAnsi="Times New Roman"/>
        </w:rPr>
      </w:pPr>
    </w:p>
    <w:p w14:paraId="07FD66E6" w14:textId="09901A94" w:rsidR="009346B0" w:rsidRDefault="009346B0" w:rsidP="00C90852">
      <w:pPr>
        <w:spacing w:line="276" w:lineRule="auto"/>
        <w:jc w:val="both"/>
        <w:rPr>
          <w:rFonts w:ascii="Times New Roman" w:hAnsi="Times New Roman"/>
        </w:rPr>
      </w:pPr>
      <w:r>
        <w:rPr>
          <w:rFonts w:ascii="Times New Roman" w:hAnsi="Times New Roman"/>
        </w:rPr>
        <w:t xml:space="preserve">W art. 3 dokonano zmiany w art. 165 </w:t>
      </w:r>
      <w:r w:rsidRPr="009346B0">
        <w:rPr>
          <w:rFonts w:ascii="Times New Roman" w:hAnsi="Times New Roman"/>
        </w:rPr>
        <w:t>w § 2a</w:t>
      </w:r>
      <w:r w:rsidRPr="009346B0">
        <w:t xml:space="preserve"> </w:t>
      </w:r>
      <w:r>
        <w:t xml:space="preserve">ustawy </w:t>
      </w:r>
      <w:r w:rsidRPr="009346B0">
        <w:rPr>
          <w:rFonts w:ascii="Times New Roman" w:hAnsi="Times New Roman"/>
        </w:rPr>
        <w:t>z dnia 17 czerwca 1966 r. o postępowaniu egzekucyjnym w administracji</w:t>
      </w:r>
      <w:r>
        <w:rPr>
          <w:rFonts w:ascii="Times New Roman" w:hAnsi="Times New Roman"/>
        </w:rPr>
        <w:t xml:space="preserve"> poprzez zastąpienie wyrazów „Ministra Finansów” wyrazami „Skarbu Państwa”.</w:t>
      </w:r>
    </w:p>
    <w:p w14:paraId="4596B410" w14:textId="77777777" w:rsidR="00AE29D2" w:rsidRDefault="00AE29D2" w:rsidP="00C90852">
      <w:pPr>
        <w:spacing w:line="276" w:lineRule="auto"/>
        <w:jc w:val="both"/>
        <w:rPr>
          <w:rFonts w:ascii="Times New Roman" w:hAnsi="Times New Roman"/>
        </w:rPr>
      </w:pPr>
    </w:p>
    <w:p w14:paraId="41869A83" w14:textId="01443AF0" w:rsidR="00AE29D2" w:rsidRDefault="00AE29D2" w:rsidP="00AE29D2">
      <w:pPr>
        <w:spacing w:line="276" w:lineRule="auto"/>
        <w:jc w:val="both"/>
        <w:rPr>
          <w:rFonts w:ascii="Times New Roman" w:hAnsi="Times New Roman"/>
        </w:rPr>
      </w:pPr>
      <w:r>
        <w:rPr>
          <w:rFonts w:ascii="Times New Roman" w:hAnsi="Times New Roman"/>
        </w:rPr>
        <w:t>Pr</w:t>
      </w:r>
      <w:r w:rsidRPr="00AE29D2">
        <w:rPr>
          <w:rFonts w:ascii="Times New Roman" w:hAnsi="Times New Roman"/>
        </w:rPr>
        <w:t>opozycje zmian</w:t>
      </w:r>
      <w:r>
        <w:rPr>
          <w:rFonts w:ascii="Times New Roman" w:hAnsi="Times New Roman"/>
        </w:rPr>
        <w:t xml:space="preserve"> w art</w:t>
      </w:r>
      <w:r w:rsidR="007E7198">
        <w:rPr>
          <w:rFonts w:ascii="Times New Roman" w:hAnsi="Times New Roman"/>
        </w:rPr>
        <w:t>. 4-5 oraz art. 7</w:t>
      </w:r>
      <w:r w:rsidRPr="00AE29D2">
        <w:rPr>
          <w:rFonts w:ascii="Times New Roman" w:hAnsi="Times New Roman"/>
        </w:rPr>
        <w:t xml:space="preserve"> wynikają z </w:t>
      </w:r>
      <w:r w:rsidR="00C26A7B">
        <w:rPr>
          <w:rFonts w:ascii="Times New Roman" w:hAnsi="Times New Roman"/>
        </w:rPr>
        <w:t xml:space="preserve">wątpliwości </w:t>
      </w:r>
      <w:r w:rsidRPr="00AE29D2">
        <w:rPr>
          <w:rFonts w:ascii="Times New Roman" w:hAnsi="Times New Roman"/>
        </w:rPr>
        <w:t>interpretacyjny</w:t>
      </w:r>
      <w:r w:rsidR="00C26A7B">
        <w:rPr>
          <w:rFonts w:ascii="Times New Roman" w:hAnsi="Times New Roman"/>
        </w:rPr>
        <w:t xml:space="preserve">ch </w:t>
      </w:r>
      <w:r w:rsidRPr="00AE29D2">
        <w:rPr>
          <w:rFonts w:ascii="Times New Roman" w:hAnsi="Times New Roman"/>
        </w:rPr>
        <w:t>w zakresie wymogu bądź braku konieczności uzyskiwania zgody Ministra</w:t>
      </w:r>
      <w:r>
        <w:rPr>
          <w:rFonts w:ascii="Times New Roman" w:hAnsi="Times New Roman"/>
        </w:rPr>
        <w:t xml:space="preserve"> </w:t>
      </w:r>
      <w:r w:rsidRPr="00AE29D2">
        <w:rPr>
          <w:rFonts w:ascii="Times New Roman" w:hAnsi="Times New Roman"/>
        </w:rPr>
        <w:t xml:space="preserve">Finansów i pozytywnej opinii </w:t>
      </w:r>
      <w:r w:rsidRPr="00AE29D2">
        <w:rPr>
          <w:rFonts w:ascii="Times New Roman" w:hAnsi="Times New Roman"/>
        </w:rPr>
        <w:lastRenderedPageBreak/>
        <w:t>sejmowej komis</w:t>
      </w:r>
      <w:r>
        <w:rPr>
          <w:rFonts w:ascii="Times New Roman" w:hAnsi="Times New Roman"/>
        </w:rPr>
        <w:t>ji właściwej do spraw budżetu w stosunku do zmian w </w:t>
      </w:r>
      <w:r w:rsidRPr="00AE29D2">
        <w:rPr>
          <w:rFonts w:ascii="Times New Roman" w:hAnsi="Times New Roman"/>
        </w:rPr>
        <w:t>planie F</w:t>
      </w:r>
      <w:r w:rsidR="008F1FA7">
        <w:rPr>
          <w:rFonts w:ascii="Times New Roman" w:hAnsi="Times New Roman"/>
        </w:rPr>
        <w:t xml:space="preserve">unduszu </w:t>
      </w:r>
      <w:r w:rsidRPr="00AE29D2">
        <w:rPr>
          <w:rFonts w:ascii="Times New Roman" w:hAnsi="Times New Roman"/>
        </w:rPr>
        <w:t>W</w:t>
      </w:r>
      <w:r w:rsidR="008F1FA7">
        <w:rPr>
          <w:rFonts w:ascii="Times New Roman" w:hAnsi="Times New Roman"/>
        </w:rPr>
        <w:t xml:space="preserve">sparcia </w:t>
      </w:r>
      <w:r w:rsidRPr="00AE29D2">
        <w:rPr>
          <w:rFonts w:ascii="Times New Roman" w:hAnsi="Times New Roman"/>
        </w:rPr>
        <w:t>P</w:t>
      </w:r>
      <w:r w:rsidR="008F1FA7">
        <w:rPr>
          <w:rFonts w:ascii="Times New Roman" w:hAnsi="Times New Roman"/>
        </w:rPr>
        <w:t>olicji</w:t>
      </w:r>
      <w:r w:rsidRPr="00AE29D2">
        <w:rPr>
          <w:rFonts w:ascii="Times New Roman" w:hAnsi="Times New Roman"/>
        </w:rPr>
        <w:t>, F</w:t>
      </w:r>
      <w:r w:rsidR="008F1FA7">
        <w:rPr>
          <w:rFonts w:ascii="Times New Roman" w:hAnsi="Times New Roman"/>
        </w:rPr>
        <w:t xml:space="preserve">unduszu </w:t>
      </w:r>
      <w:r w:rsidRPr="00AE29D2">
        <w:rPr>
          <w:rFonts w:ascii="Times New Roman" w:hAnsi="Times New Roman"/>
        </w:rPr>
        <w:t>W</w:t>
      </w:r>
      <w:r w:rsidR="008F1FA7">
        <w:rPr>
          <w:rFonts w:ascii="Times New Roman" w:hAnsi="Times New Roman"/>
        </w:rPr>
        <w:t xml:space="preserve">parcia Straży Granicznej </w:t>
      </w:r>
      <w:r w:rsidRPr="00AE29D2">
        <w:rPr>
          <w:rFonts w:ascii="Times New Roman" w:hAnsi="Times New Roman"/>
        </w:rPr>
        <w:t>i F</w:t>
      </w:r>
      <w:r w:rsidR="008F1FA7">
        <w:rPr>
          <w:rFonts w:ascii="Times New Roman" w:hAnsi="Times New Roman"/>
        </w:rPr>
        <w:t xml:space="preserve">unduszu </w:t>
      </w:r>
      <w:r w:rsidRPr="00AE29D2">
        <w:rPr>
          <w:rFonts w:ascii="Times New Roman" w:hAnsi="Times New Roman"/>
        </w:rPr>
        <w:t>W</w:t>
      </w:r>
      <w:r w:rsidR="008F1FA7">
        <w:rPr>
          <w:rFonts w:ascii="Times New Roman" w:hAnsi="Times New Roman"/>
        </w:rPr>
        <w:t xml:space="preserve">parcia </w:t>
      </w:r>
      <w:r w:rsidRPr="00AE29D2">
        <w:rPr>
          <w:rFonts w:ascii="Times New Roman" w:hAnsi="Times New Roman"/>
        </w:rPr>
        <w:t>P</w:t>
      </w:r>
      <w:r w:rsidR="008F1FA7">
        <w:rPr>
          <w:rFonts w:ascii="Times New Roman" w:hAnsi="Times New Roman"/>
        </w:rPr>
        <w:t xml:space="preserve">aństwowej </w:t>
      </w:r>
      <w:r w:rsidRPr="00AE29D2">
        <w:rPr>
          <w:rFonts w:ascii="Times New Roman" w:hAnsi="Times New Roman"/>
        </w:rPr>
        <w:t>S</w:t>
      </w:r>
      <w:r w:rsidR="008F1FA7">
        <w:rPr>
          <w:rFonts w:ascii="Times New Roman" w:hAnsi="Times New Roman"/>
        </w:rPr>
        <w:t xml:space="preserve">traży </w:t>
      </w:r>
      <w:r w:rsidRPr="00AE29D2">
        <w:rPr>
          <w:rFonts w:ascii="Times New Roman" w:hAnsi="Times New Roman"/>
        </w:rPr>
        <w:t>P</w:t>
      </w:r>
      <w:r w:rsidR="008F1FA7">
        <w:rPr>
          <w:rFonts w:ascii="Times New Roman" w:hAnsi="Times New Roman"/>
        </w:rPr>
        <w:t>ożarnej</w:t>
      </w:r>
      <w:r w:rsidRPr="00AE29D2">
        <w:rPr>
          <w:rFonts w:ascii="Times New Roman" w:hAnsi="Times New Roman"/>
        </w:rPr>
        <w:t>.</w:t>
      </w:r>
    </w:p>
    <w:p w14:paraId="7604848D" w14:textId="77777777" w:rsidR="007E7198" w:rsidRDefault="007E7198" w:rsidP="00AE29D2">
      <w:pPr>
        <w:spacing w:line="276" w:lineRule="auto"/>
        <w:jc w:val="both"/>
        <w:rPr>
          <w:rFonts w:ascii="Times New Roman" w:hAnsi="Times New Roman"/>
        </w:rPr>
      </w:pPr>
    </w:p>
    <w:p w14:paraId="46ABF1BD" w14:textId="3195B5C5" w:rsidR="001A6891" w:rsidRDefault="007E7198" w:rsidP="001A6891">
      <w:pPr>
        <w:spacing w:line="276" w:lineRule="auto"/>
        <w:jc w:val="both"/>
        <w:rPr>
          <w:rFonts w:ascii="Times New Roman" w:hAnsi="Times New Roman"/>
        </w:rPr>
      </w:pPr>
      <w:r>
        <w:rPr>
          <w:rFonts w:ascii="Times New Roman" w:hAnsi="Times New Roman"/>
        </w:rPr>
        <w:t>W art. 6 dokonano zmiany</w:t>
      </w:r>
      <w:r w:rsidRPr="007E7198">
        <w:rPr>
          <w:rFonts w:ascii="Times New Roman" w:hAnsi="Times New Roman"/>
        </w:rPr>
        <w:t xml:space="preserve"> w art. 76b ustawy z dnia 20 grudnia 1990 r. o ubezpieczeniu społecznym rolników</w:t>
      </w:r>
      <w:r>
        <w:rPr>
          <w:rFonts w:ascii="Times New Roman" w:hAnsi="Times New Roman"/>
        </w:rPr>
        <w:t>, co</w:t>
      </w:r>
      <w:r w:rsidRPr="007E7198">
        <w:rPr>
          <w:rFonts w:ascii="Times New Roman" w:hAnsi="Times New Roman"/>
        </w:rPr>
        <w:t xml:space="preserve"> ma na celu doprecyzowanie </w:t>
      </w:r>
      <w:r w:rsidR="00C26A7B">
        <w:rPr>
          <w:rFonts w:ascii="Times New Roman" w:hAnsi="Times New Roman"/>
        </w:rPr>
        <w:t xml:space="preserve">przepisów </w:t>
      </w:r>
      <w:r w:rsidRPr="007E7198">
        <w:rPr>
          <w:rFonts w:ascii="Times New Roman" w:hAnsi="Times New Roman"/>
        </w:rPr>
        <w:t>w zakresie prowadzenia gospodarki finansowej Funduszu Składkowego Ubezpieczenia Społecznego Rolników.</w:t>
      </w:r>
      <w:r w:rsidR="001A6891">
        <w:rPr>
          <w:rFonts w:ascii="Times New Roman" w:hAnsi="Times New Roman"/>
        </w:rPr>
        <w:t xml:space="preserve"> </w:t>
      </w:r>
      <w:r w:rsidR="001A6891" w:rsidRPr="001A6891">
        <w:rPr>
          <w:rFonts w:ascii="Times New Roman" w:hAnsi="Times New Roman"/>
        </w:rPr>
        <w:t xml:space="preserve">Proponowane zmiany dostosowują dotychczasowe rozwiązania w zakresie zasad prowadzenia gospodarki finansowej funduszu składkowego na podstawie rocznego planu rzeczowo-finansowego, który jest sporządzany przez Zarząd Funduszu Składkowego i zatwierdzany przez Radę Nadzorczą Funduszu Składkowego oraz przedstawiany do wiadomości ministrowi właściwemu do spraw rozwoju wsi oraz ministrowi właściwemu do spraw finansów publicznych. </w:t>
      </w:r>
    </w:p>
    <w:p w14:paraId="5FC54F98" w14:textId="77777777" w:rsidR="003B3C60" w:rsidRPr="001A6891" w:rsidRDefault="003B3C60" w:rsidP="001A6891">
      <w:pPr>
        <w:spacing w:line="276" w:lineRule="auto"/>
        <w:jc w:val="both"/>
        <w:rPr>
          <w:rFonts w:ascii="Times New Roman" w:hAnsi="Times New Roman"/>
        </w:rPr>
      </w:pPr>
    </w:p>
    <w:p w14:paraId="265E0B89" w14:textId="576B2354" w:rsidR="007E7198" w:rsidRDefault="001A6891" w:rsidP="001A6891">
      <w:pPr>
        <w:spacing w:line="276" w:lineRule="auto"/>
        <w:jc w:val="both"/>
        <w:rPr>
          <w:rFonts w:ascii="Times New Roman" w:hAnsi="Times New Roman"/>
        </w:rPr>
      </w:pPr>
      <w:r w:rsidRPr="001A6891">
        <w:rPr>
          <w:rFonts w:ascii="Times New Roman" w:hAnsi="Times New Roman"/>
        </w:rPr>
        <w:t xml:space="preserve">Wprowadzenie powyższych zmian odnośnie do </w:t>
      </w:r>
      <w:r>
        <w:rPr>
          <w:rFonts w:ascii="Times New Roman" w:hAnsi="Times New Roman"/>
        </w:rPr>
        <w:t>zmiany terminów opracowywania i </w:t>
      </w:r>
      <w:r w:rsidRPr="001A6891">
        <w:rPr>
          <w:rFonts w:ascii="Times New Roman" w:hAnsi="Times New Roman"/>
        </w:rPr>
        <w:t xml:space="preserve">zatwierdzania rocznego planu rzeczowo-finansowego Funduszu Składkowego uzasadnione jest tym, iż opracowany projekt planu Funduszu Składkowego jest niezbędny do określenia odpisu na Funduszu Motywacyjny w ramach Funduszu Administracyjnego i opracowania projektu planu Funduszu Motywacyjnego przez Prezesa KRUS. </w:t>
      </w:r>
      <w:r w:rsidR="00C26A7B">
        <w:rPr>
          <w:rFonts w:ascii="Times New Roman" w:hAnsi="Times New Roman"/>
        </w:rPr>
        <w:t>Przepis</w:t>
      </w:r>
      <w:r w:rsidRPr="001A6891">
        <w:rPr>
          <w:rFonts w:ascii="Times New Roman" w:hAnsi="Times New Roman"/>
        </w:rPr>
        <w:t xml:space="preserve"> art. 81b ust. 2 stanowi, że projekt planu finansowego opracowuje Prezes Krasy w terminie do dnia 15 czerwca. Termin 31 lipca wskazany w art. 81b ust. 3 na zatwierdzenie projektu planu Funduszu Motywacyjnego przez ministra właściwego do spraw rozwoju wsi w porozumieniu z ministrem właściwym do spraw finansów publicznych może kolidować z terminem sporządzenia projektu budżetu KRUS, który od kilku lat pr</w:t>
      </w:r>
      <w:r w:rsidR="00D315DC">
        <w:rPr>
          <w:rFonts w:ascii="Times New Roman" w:hAnsi="Times New Roman"/>
        </w:rPr>
        <w:t>zypada na pierwsze dni sierpnia</w:t>
      </w:r>
      <w:r w:rsidRPr="001A6891">
        <w:rPr>
          <w:rFonts w:ascii="Times New Roman" w:hAnsi="Times New Roman"/>
        </w:rPr>
        <w:t>.</w:t>
      </w:r>
    </w:p>
    <w:p w14:paraId="09D13735" w14:textId="77777777" w:rsidR="00D315DC" w:rsidRDefault="00D315DC" w:rsidP="001A6891">
      <w:pPr>
        <w:spacing w:line="276" w:lineRule="auto"/>
        <w:jc w:val="both"/>
        <w:rPr>
          <w:rFonts w:ascii="Times New Roman" w:hAnsi="Times New Roman"/>
        </w:rPr>
      </w:pPr>
    </w:p>
    <w:p w14:paraId="28999D44" w14:textId="3D8A2D53" w:rsidR="00C51AB0" w:rsidRDefault="00F2085A" w:rsidP="00C90852">
      <w:pPr>
        <w:spacing w:line="276" w:lineRule="auto"/>
        <w:jc w:val="both"/>
        <w:rPr>
          <w:rFonts w:ascii="Times New Roman" w:hAnsi="Times New Roman"/>
        </w:rPr>
      </w:pPr>
      <w:r w:rsidRPr="00F2085A">
        <w:rPr>
          <w:rFonts w:ascii="Times New Roman" w:hAnsi="Times New Roman"/>
        </w:rPr>
        <w:t>W związku ze zmianą art. 78b i dodaniem ust. 2a, jednocześnie należy dokonać zmian ustaw ustrojowych dotyczących funduszy</w:t>
      </w:r>
      <w:r>
        <w:rPr>
          <w:rFonts w:ascii="Times New Roman" w:hAnsi="Times New Roman"/>
        </w:rPr>
        <w:t>, o których mowa w art. 8</w:t>
      </w:r>
      <w:r w:rsidR="00447752">
        <w:rPr>
          <w:rFonts w:ascii="Times New Roman" w:hAnsi="Times New Roman"/>
        </w:rPr>
        <w:t>-9, art. 15,</w:t>
      </w:r>
      <w:r w:rsidR="0051231D">
        <w:rPr>
          <w:rFonts w:ascii="Times New Roman" w:hAnsi="Times New Roman"/>
        </w:rPr>
        <w:t xml:space="preserve"> art. 18, art. 20, art. 23, art. 2</w:t>
      </w:r>
      <w:r w:rsidR="001977C2">
        <w:rPr>
          <w:rFonts w:ascii="Times New Roman" w:hAnsi="Times New Roman"/>
        </w:rPr>
        <w:t>6</w:t>
      </w:r>
      <w:r w:rsidR="0051231D">
        <w:rPr>
          <w:rFonts w:ascii="Times New Roman" w:hAnsi="Times New Roman"/>
        </w:rPr>
        <w:t>, art. 2</w:t>
      </w:r>
      <w:r w:rsidR="001977C2">
        <w:rPr>
          <w:rFonts w:ascii="Times New Roman" w:hAnsi="Times New Roman"/>
        </w:rPr>
        <w:t>8</w:t>
      </w:r>
      <w:r w:rsidR="008A6F71">
        <w:rPr>
          <w:rFonts w:ascii="Times New Roman" w:hAnsi="Times New Roman"/>
        </w:rPr>
        <w:t xml:space="preserve"> </w:t>
      </w:r>
      <w:r w:rsidR="0051231D">
        <w:rPr>
          <w:rFonts w:ascii="Times New Roman" w:hAnsi="Times New Roman"/>
        </w:rPr>
        <w:t>3</w:t>
      </w:r>
      <w:r w:rsidR="001977C2">
        <w:rPr>
          <w:rFonts w:ascii="Times New Roman" w:hAnsi="Times New Roman"/>
        </w:rPr>
        <w:t>2</w:t>
      </w:r>
      <w:r w:rsidR="00423AA4">
        <w:rPr>
          <w:rFonts w:ascii="Times New Roman" w:hAnsi="Times New Roman"/>
        </w:rPr>
        <w:t xml:space="preserve"> oraz </w:t>
      </w:r>
      <w:r w:rsidR="00370BBF">
        <w:rPr>
          <w:rFonts w:ascii="Times New Roman" w:hAnsi="Times New Roman"/>
        </w:rPr>
        <w:t>art. 35 i 36</w:t>
      </w:r>
      <w:r w:rsidR="00F16562">
        <w:rPr>
          <w:rFonts w:ascii="Times New Roman" w:hAnsi="Times New Roman"/>
        </w:rPr>
        <w:t>, natomiast</w:t>
      </w:r>
      <w:r w:rsidR="00370BBF">
        <w:rPr>
          <w:rFonts w:ascii="Times New Roman" w:hAnsi="Times New Roman"/>
        </w:rPr>
        <w:t xml:space="preserve"> </w:t>
      </w:r>
      <w:r w:rsidR="00423AA4">
        <w:rPr>
          <w:rFonts w:ascii="Times New Roman" w:hAnsi="Times New Roman"/>
        </w:rPr>
        <w:t xml:space="preserve">w art. </w:t>
      </w:r>
      <w:r w:rsidR="004C4408">
        <w:rPr>
          <w:rFonts w:ascii="Times New Roman" w:hAnsi="Times New Roman"/>
        </w:rPr>
        <w:t>42</w:t>
      </w:r>
      <w:r w:rsidR="00423AA4">
        <w:rPr>
          <w:rFonts w:ascii="Times New Roman" w:hAnsi="Times New Roman"/>
        </w:rPr>
        <w:t xml:space="preserve"> zawarto przepis przejściowy dotyczący tej kwestii. </w:t>
      </w:r>
    </w:p>
    <w:p w14:paraId="607EA681" w14:textId="3CD58347" w:rsidR="00447752" w:rsidRDefault="00447752" w:rsidP="00C90852">
      <w:pPr>
        <w:spacing w:line="276" w:lineRule="auto"/>
        <w:jc w:val="both"/>
        <w:rPr>
          <w:rFonts w:ascii="Times New Roman" w:hAnsi="Times New Roman"/>
        </w:rPr>
      </w:pPr>
      <w:r w:rsidRPr="00447752">
        <w:rPr>
          <w:rFonts w:ascii="Times New Roman" w:hAnsi="Times New Roman"/>
        </w:rPr>
        <w:t>W art. 1</w:t>
      </w:r>
      <w:r w:rsidR="00026DDF">
        <w:rPr>
          <w:rFonts w:ascii="Times New Roman" w:hAnsi="Times New Roman"/>
        </w:rPr>
        <w:t>1</w:t>
      </w:r>
      <w:r w:rsidRPr="00447752">
        <w:rPr>
          <w:rFonts w:ascii="Times New Roman" w:hAnsi="Times New Roman"/>
        </w:rPr>
        <w:t xml:space="preserve"> zmienione zostało brzmienie art. 27b ustawy z dnia 6 czerwca 1997 r. </w:t>
      </w:r>
      <w:r w:rsidR="008A6F71">
        <w:rPr>
          <w:rFonts w:ascii="Times New Roman" w:hAnsi="Times New Roman"/>
        </w:rPr>
        <w:t>–</w:t>
      </w:r>
      <w:r w:rsidRPr="00447752">
        <w:rPr>
          <w:rFonts w:ascii="Times New Roman" w:hAnsi="Times New Roman"/>
        </w:rPr>
        <w:t xml:space="preserve"> </w:t>
      </w:r>
      <w:r w:rsidRPr="008A6F71">
        <w:rPr>
          <w:rFonts w:ascii="Times New Roman" w:hAnsi="Times New Roman"/>
          <w:i/>
        </w:rPr>
        <w:t>K</w:t>
      </w:r>
      <w:r w:rsidR="00AC4A2D" w:rsidRPr="008A6F71">
        <w:rPr>
          <w:rFonts w:ascii="Times New Roman" w:hAnsi="Times New Roman"/>
          <w:i/>
        </w:rPr>
        <w:t>odeks karny wykonawczy</w:t>
      </w:r>
      <w:r w:rsidR="008A6F71">
        <w:rPr>
          <w:rFonts w:ascii="Times New Roman" w:hAnsi="Times New Roman"/>
        </w:rPr>
        <w:t xml:space="preserve"> (Dz. U. z 2021 r. poz. 53, z </w:t>
      </w:r>
      <w:proofErr w:type="spellStart"/>
      <w:r w:rsidR="008A6F71">
        <w:rPr>
          <w:rFonts w:ascii="Times New Roman" w:hAnsi="Times New Roman"/>
        </w:rPr>
        <w:t>późn</w:t>
      </w:r>
      <w:proofErr w:type="spellEnd"/>
      <w:r w:rsidR="008A6F71">
        <w:rPr>
          <w:rFonts w:ascii="Times New Roman" w:hAnsi="Times New Roman"/>
        </w:rPr>
        <w:t>. zm.).</w:t>
      </w:r>
      <w:r w:rsidR="00AC4A2D">
        <w:rPr>
          <w:rFonts w:ascii="Times New Roman" w:hAnsi="Times New Roman"/>
        </w:rPr>
        <w:t>Wyrazy „Ministra Finansów” zastąpiono wyrazami „Skarbu Państwa”</w:t>
      </w:r>
      <w:r w:rsidRPr="00447752">
        <w:rPr>
          <w:rFonts w:ascii="Times New Roman" w:hAnsi="Times New Roman"/>
        </w:rPr>
        <w:t>.</w:t>
      </w:r>
    </w:p>
    <w:p w14:paraId="703A700E" w14:textId="77777777" w:rsidR="005C6860" w:rsidRDefault="005C6860" w:rsidP="00C90852">
      <w:pPr>
        <w:spacing w:line="276" w:lineRule="auto"/>
        <w:jc w:val="both"/>
        <w:rPr>
          <w:rFonts w:ascii="Times New Roman" w:hAnsi="Times New Roman"/>
        </w:rPr>
      </w:pPr>
    </w:p>
    <w:p w14:paraId="0CE9CDDD" w14:textId="3FD5D432" w:rsidR="005C6860" w:rsidRDefault="005C6860" w:rsidP="005C6860">
      <w:pPr>
        <w:spacing w:line="276" w:lineRule="auto"/>
        <w:jc w:val="both"/>
        <w:rPr>
          <w:rFonts w:ascii="Times New Roman" w:hAnsi="Times New Roman"/>
        </w:rPr>
      </w:pPr>
      <w:r>
        <w:rPr>
          <w:rFonts w:ascii="Times New Roman" w:hAnsi="Times New Roman"/>
        </w:rPr>
        <w:t>Zmiany ustaw w art. 1</w:t>
      </w:r>
      <w:r w:rsidR="00026DDF">
        <w:rPr>
          <w:rFonts w:ascii="Times New Roman" w:hAnsi="Times New Roman"/>
        </w:rPr>
        <w:t>2</w:t>
      </w:r>
      <w:r>
        <w:rPr>
          <w:rFonts w:ascii="Times New Roman" w:hAnsi="Times New Roman"/>
        </w:rPr>
        <w:t xml:space="preserve">, art. 17, art. 19 </w:t>
      </w:r>
      <w:r w:rsidRPr="005C6860">
        <w:rPr>
          <w:rFonts w:ascii="Times New Roman" w:hAnsi="Times New Roman"/>
        </w:rPr>
        <w:t xml:space="preserve">oraz </w:t>
      </w:r>
      <w:r>
        <w:rPr>
          <w:rFonts w:ascii="Times New Roman" w:hAnsi="Times New Roman"/>
        </w:rPr>
        <w:t>2</w:t>
      </w:r>
      <w:r w:rsidR="001977C2">
        <w:rPr>
          <w:rFonts w:ascii="Times New Roman" w:hAnsi="Times New Roman"/>
        </w:rPr>
        <w:t>7</w:t>
      </w:r>
      <w:r w:rsidRPr="005C6860">
        <w:rPr>
          <w:rFonts w:ascii="Times New Roman" w:hAnsi="Times New Roman"/>
        </w:rPr>
        <w:t xml:space="preserve"> – wynikają z konieczności dostosowania</w:t>
      </w:r>
      <w:r>
        <w:rPr>
          <w:rFonts w:ascii="Times New Roman" w:hAnsi="Times New Roman"/>
        </w:rPr>
        <w:t xml:space="preserve"> </w:t>
      </w:r>
      <w:r w:rsidRPr="005C6860">
        <w:rPr>
          <w:rFonts w:ascii="Times New Roman" w:hAnsi="Times New Roman"/>
        </w:rPr>
        <w:t>przepisów tych ustaw w związku ze zmianami wprowadzanymi w art. 29 ustawy o</w:t>
      </w:r>
      <w:r>
        <w:rPr>
          <w:rFonts w:ascii="Times New Roman" w:hAnsi="Times New Roman"/>
        </w:rPr>
        <w:t xml:space="preserve"> </w:t>
      </w:r>
      <w:r w:rsidRPr="005C6860">
        <w:rPr>
          <w:rFonts w:ascii="Times New Roman" w:hAnsi="Times New Roman"/>
        </w:rPr>
        <w:t>finansach publicznych.</w:t>
      </w:r>
    </w:p>
    <w:p w14:paraId="3999E8A4" w14:textId="77777777" w:rsidR="00447752" w:rsidRDefault="00447752" w:rsidP="00C90852">
      <w:pPr>
        <w:spacing w:line="276" w:lineRule="auto"/>
        <w:jc w:val="both"/>
        <w:rPr>
          <w:rFonts w:ascii="Times New Roman" w:hAnsi="Times New Roman"/>
        </w:rPr>
      </w:pPr>
    </w:p>
    <w:p w14:paraId="1926EAFC" w14:textId="093A5650" w:rsidR="00682410" w:rsidRDefault="009669FA" w:rsidP="00C90852">
      <w:pPr>
        <w:spacing w:line="276" w:lineRule="auto"/>
        <w:jc w:val="both"/>
        <w:rPr>
          <w:rFonts w:ascii="Times New Roman" w:hAnsi="Times New Roman"/>
        </w:rPr>
      </w:pPr>
      <w:r>
        <w:rPr>
          <w:rFonts w:ascii="Times New Roman" w:hAnsi="Times New Roman"/>
        </w:rPr>
        <w:t xml:space="preserve">W art. </w:t>
      </w:r>
      <w:r w:rsidR="00D315DC">
        <w:rPr>
          <w:rFonts w:ascii="Times New Roman" w:hAnsi="Times New Roman"/>
        </w:rPr>
        <w:t>1</w:t>
      </w:r>
      <w:r w:rsidR="00026DDF">
        <w:rPr>
          <w:rFonts w:ascii="Times New Roman" w:hAnsi="Times New Roman"/>
        </w:rPr>
        <w:t>0</w:t>
      </w:r>
      <w:r>
        <w:rPr>
          <w:rFonts w:ascii="Times New Roman" w:hAnsi="Times New Roman"/>
        </w:rPr>
        <w:t xml:space="preserve">. </w:t>
      </w:r>
      <w:r w:rsidRPr="009669FA">
        <w:rPr>
          <w:rFonts w:ascii="Times New Roman" w:hAnsi="Times New Roman"/>
        </w:rPr>
        <w:t>przewiduje się zmiany w art. 39 ust. 3a i 4 ustawy z dnia 8 sierpnia 19</w:t>
      </w:r>
      <w:r w:rsidR="0051231D">
        <w:rPr>
          <w:rFonts w:ascii="Times New Roman" w:hAnsi="Times New Roman"/>
        </w:rPr>
        <w:t>9</w:t>
      </w:r>
      <w:r w:rsidRPr="009669FA">
        <w:rPr>
          <w:rFonts w:ascii="Times New Roman" w:hAnsi="Times New Roman"/>
        </w:rPr>
        <w:t>6 r. o</w:t>
      </w:r>
      <w:r w:rsidR="003F79C7">
        <w:rPr>
          <w:rFonts w:ascii="Times New Roman" w:hAnsi="Times New Roman"/>
        </w:rPr>
        <w:t xml:space="preserve"> </w:t>
      </w:r>
      <w:r w:rsidRPr="009669FA">
        <w:rPr>
          <w:rFonts w:ascii="Times New Roman" w:hAnsi="Times New Roman"/>
        </w:rPr>
        <w:t>R</w:t>
      </w:r>
      <w:r>
        <w:rPr>
          <w:rFonts w:ascii="Times New Roman" w:hAnsi="Times New Roman"/>
        </w:rPr>
        <w:t>adzie Ministrów, jakie należy wprowadzić w </w:t>
      </w:r>
      <w:r w:rsidRPr="009669FA">
        <w:rPr>
          <w:rFonts w:ascii="Times New Roman" w:hAnsi="Times New Roman"/>
        </w:rPr>
        <w:t>związku ze zmianą wprowadzoną przez projektodawcę w ustawie o finansach publicznych. Potrzeba zmian i jej cel zostały opisane w uzasadnieniu do zmiany art. 282 ust. 1.</w:t>
      </w:r>
    </w:p>
    <w:p w14:paraId="7AE70611" w14:textId="77777777" w:rsidR="00C51AB0" w:rsidRDefault="00C51AB0" w:rsidP="00C90852">
      <w:pPr>
        <w:spacing w:line="276" w:lineRule="auto"/>
        <w:jc w:val="both"/>
        <w:rPr>
          <w:rFonts w:ascii="Times New Roman" w:hAnsi="Times New Roman"/>
        </w:rPr>
      </w:pPr>
    </w:p>
    <w:p w14:paraId="7D84AEA9" w14:textId="4AA018DF" w:rsidR="00682410" w:rsidRDefault="00B97DA8" w:rsidP="00C90852">
      <w:pPr>
        <w:spacing w:line="276" w:lineRule="auto"/>
        <w:jc w:val="both"/>
        <w:rPr>
          <w:rFonts w:ascii="Times New Roman" w:hAnsi="Times New Roman"/>
        </w:rPr>
      </w:pPr>
      <w:r w:rsidRPr="008E5FB3">
        <w:rPr>
          <w:rFonts w:ascii="Times New Roman" w:hAnsi="Times New Roman"/>
        </w:rPr>
        <w:t xml:space="preserve">W art. </w:t>
      </w:r>
      <w:r w:rsidR="005C6860">
        <w:rPr>
          <w:rFonts w:ascii="Times New Roman" w:hAnsi="Times New Roman"/>
        </w:rPr>
        <w:t>13</w:t>
      </w:r>
      <w:r w:rsidRPr="008E5FB3">
        <w:rPr>
          <w:rFonts w:ascii="Times New Roman" w:hAnsi="Times New Roman"/>
          <w:b/>
        </w:rPr>
        <w:t xml:space="preserve"> </w:t>
      </w:r>
      <w:r w:rsidRPr="008E5FB3">
        <w:rPr>
          <w:rFonts w:ascii="Times New Roman" w:hAnsi="Times New Roman"/>
        </w:rPr>
        <w:t xml:space="preserve">dokonano zmiany brzmienia art. 53 ust. 2 ustawy o systemie ubezpieczeń społecznych. Przedmiotowa zmiana polega na umożliwieniu przekazania dotacji celowej do </w:t>
      </w:r>
      <w:r w:rsidRPr="008E5FB3">
        <w:rPr>
          <w:rFonts w:ascii="Times New Roman" w:hAnsi="Times New Roman"/>
        </w:rPr>
        <w:lastRenderedPageBreak/>
        <w:t xml:space="preserve">Funduszu Ubezpieczeń Społecznych z przeznaczeniem na rekompensatę składek przekazywanych na rzecz otwartych funduszy emerytalnych. Przepis ten pozwoli </w:t>
      </w:r>
      <w:r w:rsidR="00E522C4" w:rsidRPr="008E5FB3">
        <w:rPr>
          <w:rFonts w:ascii="Times New Roman" w:hAnsi="Times New Roman"/>
        </w:rPr>
        <w:t xml:space="preserve">na </w:t>
      </w:r>
      <w:r w:rsidRPr="008E5FB3">
        <w:rPr>
          <w:rFonts w:ascii="Times New Roman" w:hAnsi="Times New Roman"/>
        </w:rPr>
        <w:t>wyeliminowanie wątpliwości odnośnie do</w:t>
      </w:r>
      <w:r w:rsidR="00557993" w:rsidRPr="008E5FB3">
        <w:rPr>
          <w:rFonts w:ascii="Times New Roman" w:hAnsi="Times New Roman"/>
        </w:rPr>
        <w:t> </w:t>
      </w:r>
      <w:r w:rsidRPr="008E5FB3">
        <w:rPr>
          <w:rFonts w:ascii="Times New Roman" w:hAnsi="Times New Roman"/>
        </w:rPr>
        <w:t xml:space="preserve">zasad klasyfikowania środków z tytułu przekazania składek do </w:t>
      </w:r>
      <w:r w:rsidR="005D0273" w:rsidRPr="008E5FB3">
        <w:rPr>
          <w:rFonts w:ascii="Times New Roman" w:hAnsi="Times New Roman"/>
        </w:rPr>
        <w:t>otwartych funduszy emerytalnych.</w:t>
      </w:r>
    </w:p>
    <w:p w14:paraId="78D708DA" w14:textId="77777777" w:rsidR="00682410" w:rsidRDefault="00682410" w:rsidP="00C90852">
      <w:pPr>
        <w:spacing w:line="276" w:lineRule="auto"/>
        <w:jc w:val="both"/>
        <w:rPr>
          <w:rFonts w:ascii="Times New Roman" w:hAnsi="Times New Roman"/>
        </w:rPr>
      </w:pPr>
    </w:p>
    <w:p w14:paraId="07B121DF" w14:textId="5966E09D" w:rsidR="00EC4DAF" w:rsidRDefault="00682410" w:rsidP="00C90852">
      <w:pPr>
        <w:spacing w:line="276" w:lineRule="auto"/>
        <w:jc w:val="both"/>
        <w:rPr>
          <w:rFonts w:ascii="Times New Roman" w:hAnsi="Times New Roman"/>
        </w:rPr>
      </w:pPr>
      <w:r w:rsidRPr="00682410">
        <w:rPr>
          <w:rFonts w:ascii="Times New Roman" w:hAnsi="Times New Roman"/>
        </w:rPr>
        <w:t xml:space="preserve">W art. </w:t>
      </w:r>
      <w:r w:rsidR="005C6860">
        <w:rPr>
          <w:rFonts w:ascii="Times New Roman" w:hAnsi="Times New Roman"/>
        </w:rPr>
        <w:t>14</w:t>
      </w:r>
      <w:r w:rsidRPr="00682410">
        <w:rPr>
          <w:rFonts w:ascii="Times New Roman" w:hAnsi="Times New Roman"/>
        </w:rPr>
        <w:t xml:space="preserve"> zmieniono brzmienie art. 31a w § 1 pkt 6 ustawy z dnia  27 lipca 2001 r. – </w:t>
      </w:r>
      <w:r w:rsidRPr="008A6F71">
        <w:rPr>
          <w:rFonts w:ascii="Times New Roman" w:hAnsi="Times New Roman"/>
          <w:i/>
        </w:rPr>
        <w:t>Prawo o</w:t>
      </w:r>
      <w:r w:rsidR="00B42069" w:rsidRPr="008A6F71">
        <w:rPr>
          <w:rFonts w:ascii="Times New Roman" w:hAnsi="Times New Roman"/>
          <w:i/>
        </w:rPr>
        <w:t> </w:t>
      </w:r>
      <w:r w:rsidRPr="008A6F71">
        <w:rPr>
          <w:rFonts w:ascii="Times New Roman" w:hAnsi="Times New Roman"/>
          <w:i/>
        </w:rPr>
        <w:t>ustroju sądów powszechnych</w:t>
      </w:r>
      <w:r w:rsidR="00622FF5">
        <w:rPr>
          <w:rFonts w:ascii="Times New Roman" w:hAnsi="Times New Roman"/>
        </w:rPr>
        <w:t xml:space="preserve"> </w:t>
      </w:r>
      <w:r w:rsidR="008A6F71">
        <w:rPr>
          <w:rFonts w:ascii="Times New Roman" w:hAnsi="Times New Roman"/>
        </w:rPr>
        <w:t xml:space="preserve">(Dz. U. z 2020 r. poz. 2072, z </w:t>
      </w:r>
      <w:proofErr w:type="spellStart"/>
      <w:r w:rsidR="008A6F71">
        <w:rPr>
          <w:rFonts w:ascii="Times New Roman" w:hAnsi="Times New Roman"/>
        </w:rPr>
        <w:t>późn</w:t>
      </w:r>
      <w:proofErr w:type="spellEnd"/>
      <w:r w:rsidR="008A6F71">
        <w:rPr>
          <w:rFonts w:ascii="Times New Roman" w:hAnsi="Times New Roman"/>
        </w:rPr>
        <w:t xml:space="preserve">. zm.) </w:t>
      </w:r>
      <w:r w:rsidR="00622FF5">
        <w:rPr>
          <w:rFonts w:ascii="Times New Roman" w:hAnsi="Times New Roman"/>
        </w:rPr>
        <w:t xml:space="preserve">w związku ze </w:t>
      </w:r>
      <w:r w:rsidR="00622FF5" w:rsidRPr="008E5FB3">
        <w:rPr>
          <w:rFonts w:ascii="Times New Roman" w:hAnsi="Times New Roman"/>
        </w:rPr>
        <w:t>zmian</w:t>
      </w:r>
      <w:r w:rsidR="00622FF5">
        <w:rPr>
          <w:rFonts w:ascii="Times New Roman" w:hAnsi="Times New Roman"/>
        </w:rPr>
        <w:t xml:space="preserve">ą w ustawie o finansach publicznych </w:t>
      </w:r>
      <w:r w:rsidR="00622FF5" w:rsidRPr="008E5FB3">
        <w:rPr>
          <w:rFonts w:ascii="Times New Roman" w:hAnsi="Times New Roman"/>
        </w:rPr>
        <w:t>terminologii „rachunek depozytowy Ministra Finansów” na „rachunek depozytowy Skarbu Państwa”</w:t>
      </w:r>
      <w:r w:rsidRPr="00682410">
        <w:rPr>
          <w:rFonts w:ascii="Times New Roman" w:hAnsi="Times New Roman"/>
        </w:rPr>
        <w:t xml:space="preserve">. </w:t>
      </w:r>
    </w:p>
    <w:p w14:paraId="4359A9D9" w14:textId="77777777" w:rsidR="00EC4DAF" w:rsidRDefault="00EC4DAF" w:rsidP="00C90852">
      <w:pPr>
        <w:spacing w:line="276" w:lineRule="auto"/>
        <w:jc w:val="both"/>
        <w:rPr>
          <w:rFonts w:ascii="Times New Roman" w:hAnsi="Times New Roman"/>
        </w:rPr>
      </w:pPr>
    </w:p>
    <w:p w14:paraId="2CB7F2DA" w14:textId="623E949F" w:rsidR="00B97DA8" w:rsidRPr="008E5FB3" w:rsidRDefault="00682410" w:rsidP="00C90852">
      <w:pPr>
        <w:spacing w:line="276" w:lineRule="auto"/>
        <w:jc w:val="both"/>
        <w:rPr>
          <w:rFonts w:ascii="Times New Roman" w:hAnsi="Times New Roman"/>
        </w:rPr>
      </w:pPr>
      <w:r w:rsidRPr="00682410">
        <w:rPr>
          <w:rFonts w:ascii="Times New Roman" w:hAnsi="Times New Roman"/>
        </w:rPr>
        <w:t xml:space="preserve">W art. </w:t>
      </w:r>
      <w:r w:rsidR="005C6860">
        <w:rPr>
          <w:rFonts w:ascii="Times New Roman" w:hAnsi="Times New Roman"/>
        </w:rPr>
        <w:t>16</w:t>
      </w:r>
      <w:r w:rsidRPr="00682410">
        <w:rPr>
          <w:rFonts w:ascii="Times New Roman" w:hAnsi="Times New Roman"/>
        </w:rPr>
        <w:t xml:space="preserve"> zaś zmieniono brzmienie art. 227 i 404 ust. 2 ustawy z dnia 28 lutego 2003 r. </w:t>
      </w:r>
      <w:r w:rsidR="008A6F71">
        <w:rPr>
          <w:rFonts w:ascii="Times New Roman" w:hAnsi="Times New Roman"/>
        </w:rPr>
        <w:t>–</w:t>
      </w:r>
      <w:r w:rsidRPr="00682410">
        <w:rPr>
          <w:rFonts w:ascii="Times New Roman" w:hAnsi="Times New Roman"/>
        </w:rPr>
        <w:t xml:space="preserve"> </w:t>
      </w:r>
      <w:r w:rsidRPr="008A6F71">
        <w:rPr>
          <w:rFonts w:ascii="Times New Roman" w:hAnsi="Times New Roman"/>
          <w:i/>
        </w:rPr>
        <w:t>Prawo upadłościowe</w:t>
      </w:r>
      <w:r w:rsidR="00622FF5">
        <w:rPr>
          <w:rFonts w:ascii="Times New Roman" w:hAnsi="Times New Roman"/>
        </w:rPr>
        <w:t xml:space="preserve"> </w:t>
      </w:r>
      <w:r w:rsidR="008A6F71">
        <w:rPr>
          <w:rFonts w:ascii="Times New Roman" w:hAnsi="Times New Roman"/>
        </w:rPr>
        <w:t xml:space="preserve">(Dz. U. z 2020 r. poz. 1228, z </w:t>
      </w:r>
      <w:proofErr w:type="spellStart"/>
      <w:r w:rsidR="008A6F71">
        <w:rPr>
          <w:rFonts w:ascii="Times New Roman" w:hAnsi="Times New Roman"/>
        </w:rPr>
        <w:t>późn</w:t>
      </w:r>
      <w:proofErr w:type="spellEnd"/>
      <w:r w:rsidR="008A6F71">
        <w:rPr>
          <w:rFonts w:ascii="Times New Roman" w:hAnsi="Times New Roman"/>
        </w:rPr>
        <w:t xml:space="preserve">. zm.) </w:t>
      </w:r>
      <w:r w:rsidR="00622FF5">
        <w:rPr>
          <w:rFonts w:ascii="Times New Roman" w:hAnsi="Times New Roman"/>
        </w:rPr>
        <w:t xml:space="preserve">w związku ze </w:t>
      </w:r>
      <w:r w:rsidR="00622FF5" w:rsidRPr="008E5FB3">
        <w:rPr>
          <w:rFonts w:ascii="Times New Roman" w:hAnsi="Times New Roman"/>
        </w:rPr>
        <w:t>zmian</w:t>
      </w:r>
      <w:r w:rsidR="00622FF5">
        <w:rPr>
          <w:rFonts w:ascii="Times New Roman" w:hAnsi="Times New Roman"/>
        </w:rPr>
        <w:t xml:space="preserve">ą w ustawie o finansach publicznych </w:t>
      </w:r>
      <w:r w:rsidR="00622FF5" w:rsidRPr="008E5FB3">
        <w:rPr>
          <w:rFonts w:ascii="Times New Roman" w:hAnsi="Times New Roman"/>
        </w:rPr>
        <w:t>terminologii „rachunek depozytowy Ministra Finansów” na „rachunek depozytowy Skarbu Państwa”</w:t>
      </w:r>
      <w:r w:rsidR="00E36EC1">
        <w:rPr>
          <w:rFonts w:ascii="Times New Roman" w:hAnsi="Times New Roman"/>
        </w:rPr>
        <w:t>.</w:t>
      </w:r>
    </w:p>
    <w:p w14:paraId="413A18C6" w14:textId="77777777" w:rsidR="009669FA" w:rsidRDefault="009669FA" w:rsidP="00C90852">
      <w:pPr>
        <w:spacing w:line="276" w:lineRule="auto"/>
        <w:jc w:val="both"/>
        <w:rPr>
          <w:rFonts w:ascii="Times New Roman" w:hAnsi="Times New Roman"/>
        </w:rPr>
      </w:pPr>
    </w:p>
    <w:p w14:paraId="6CD52CFB" w14:textId="47A3C61D" w:rsidR="009669FA" w:rsidRDefault="009669FA" w:rsidP="00C90852">
      <w:pPr>
        <w:spacing w:line="276" w:lineRule="auto"/>
        <w:jc w:val="both"/>
        <w:rPr>
          <w:rFonts w:ascii="Times New Roman" w:hAnsi="Times New Roman"/>
        </w:rPr>
      </w:pPr>
      <w:r>
        <w:rPr>
          <w:rFonts w:ascii="Times New Roman" w:hAnsi="Times New Roman"/>
        </w:rPr>
        <w:t xml:space="preserve">W art. </w:t>
      </w:r>
      <w:r w:rsidR="005C6860">
        <w:rPr>
          <w:rFonts w:ascii="Times New Roman" w:hAnsi="Times New Roman"/>
        </w:rPr>
        <w:t>21</w:t>
      </w:r>
      <w:r>
        <w:rPr>
          <w:rFonts w:ascii="Times New Roman" w:hAnsi="Times New Roman"/>
        </w:rPr>
        <w:t xml:space="preserve"> </w:t>
      </w:r>
      <w:r w:rsidRPr="009669FA">
        <w:rPr>
          <w:rFonts w:ascii="Times New Roman" w:hAnsi="Times New Roman"/>
        </w:rPr>
        <w:t>przewiduje się zmian</w:t>
      </w:r>
      <w:r w:rsidR="00757F5C">
        <w:rPr>
          <w:rFonts w:ascii="Times New Roman" w:hAnsi="Times New Roman"/>
        </w:rPr>
        <w:t>ę</w:t>
      </w:r>
      <w:r w:rsidRPr="009669FA">
        <w:rPr>
          <w:rFonts w:ascii="Times New Roman" w:hAnsi="Times New Roman"/>
        </w:rPr>
        <w:t xml:space="preserve"> w art. 25 w ust. 4 w pkt 1 lit. h ust</w:t>
      </w:r>
      <w:r w:rsidR="00E36EC1">
        <w:rPr>
          <w:rFonts w:ascii="Times New Roman" w:hAnsi="Times New Roman"/>
        </w:rPr>
        <w:t xml:space="preserve">awy z dnia 21 listopada 2008 r. </w:t>
      </w:r>
      <w:r w:rsidRPr="008A6F71">
        <w:rPr>
          <w:rFonts w:ascii="Times New Roman" w:hAnsi="Times New Roman"/>
          <w:i/>
        </w:rPr>
        <w:t>o służbie cywilnej</w:t>
      </w:r>
      <w:r w:rsidRPr="009669FA">
        <w:rPr>
          <w:rFonts w:ascii="Times New Roman" w:hAnsi="Times New Roman"/>
        </w:rPr>
        <w:t>, jaką należy wprowadzić w związku ze zmianą wprowadzoną przez projektodawcę w ustawie o finansach publicznych. Potrzeba zmian i jej cel zostały opisane w</w:t>
      </w:r>
      <w:r w:rsidR="00B42069">
        <w:rPr>
          <w:rFonts w:ascii="Times New Roman" w:hAnsi="Times New Roman"/>
        </w:rPr>
        <w:t> </w:t>
      </w:r>
      <w:r w:rsidRPr="009669FA">
        <w:rPr>
          <w:rFonts w:ascii="Times New Roman" w:hAnsi="Times New Roman"/>
        </w:rPr>
        <w:t>uzasadnieniu do zmiany art. 280 ust. 1.</w:t>
      </w:r>
    </w:p>
    <w:p w14:paraId="2305DFD2" w14:textId="77777777" w:rsidR="00682410" w:rsidRPr="008E5FB3" w:rsidRDefault="00682410" w:rsidP="00C90852">
      <w:pPr>
        <w:spacing w:line="276" w:lineRule="auto"/>
        <w:jc w:val="both"/>
        <w:rPr>
          <w:rFonts w:ascii="Times New Roman" w:hAnsi="Times New Roman"/>
        </w:rPr>
      </w:pPr>
    </w:p>
    <w:p w14:paraId="32EB4F46" w14:textId="51896366" w:rsidR="00E522C4" w:rsidRDefault="00E522C4" w:rsidP="00C90852">
      <w:pPr>
        <w:spacing w:line="276" w:lineRule="auto"/>
        <w:jc w:val="both"/>
        <w:rPr>
          <w:rFonts w:ascii="Times New Roman" w:hAnsi="Times New Roman"/>
        </w:rPr>
      </w:pPr>
      <w:r w:rsidRPr="008E5FB3">
        <w:rPr>
          <w:rFonts w:ascii="Times New Roman" w:hAnsi="Times New Roman"/>
        </w:rPr>
        <w:t xml:space="preserve">W art. </w:t>
      </w:r>
      <w:r w:rsidR="005C6860">
        <w:rPr>
          <w:rFonts w:ascii="Times New Roman" w:hAnsi="Times New Roman"/>
        </w:rPr>
        <w:t>22</w:t>
      </w:r>
      <w:r w:rsidRPr="008E5FB3">
        <w:rPr>
          <w:rFonts w:ascii="Times New Roman" w:hAnsi="Times New Roman"/>
          <w:b/>
        </w:rPr>
        <w:t xml:space="preserve"> </w:t>
      </w:r>
      <w:r w:rsidR="00757F5C" w:rsidRPr="00757F5C">
        <w:rPr>
          <w:rFonts w:ascii="Times New Roman" w:hAnsi="Times New Roman"/>
        </w:rPr>
        <w:t xml:space="preserve">projektowanej ustawy </w:t>
      </w:r>
      <w:r w:rsidRPr="008E5FB3">
        <w:rPr>
          <w:rFonts w:ascii="Times New Roman" w:hAnsi="Times New Roman"/>
        </w:rPr>
        <w:t>uchylono art. 20 ustawy</w:t>
      </w:r>
      <w:r w:rsidR="00F16961">
        <w:rPr>
          <w:rFonts w:ascii="Times New Roman" w:hAnsi="Times New Roman"/>
        </w:rPr>
        <w:t xml:space="preserve"> </w:t>
      </w:r>
      <w:r w:rsidR="001A01A3">
        <w:rPr>
          <w:rFonts w:ascii="Times New Roman" w:hAnsi="Times New Roman"/>
        </w:rPr>
        <w:t xml:space="preserve">z dnia 21 lipca 2015 r. </w:t>
      </w:r>
      <w:r w:rsidR="00F16961" w:rsidRPr="001A01A3">
        <w:rPr>
          <w:rFonts w:ascii="Times New Roman" w:hAnsi="Times New Roman"/>
          <w:i/>
        </w:rPr>
        <w:t>o Radzie Dialogu Społecznego i </w:t>
      </w:r>
      <w:r w:rsidRPr="001A01A3">
        <w:rPr>
          <w:rFonts w:ascii="Times New Roman" w:hAnsi="Times New Roman"/>
          <w:i/>
        </w:rPr>
        <w:t>innych instytucjach dialogu społecznego</w:t>
      </w:r>
      <w:r w:rsidR="001A01A3">
        <w:rPr>
          <w:rFonts w:ascii="Times New Roman" w:hAnsi="Times New Roman"/>
        </w:rPr>
        <w:t xml:space="preserve"> (Dz. U. z 2018 r. poz. 2232, z </w:t>
      </w:r>
      <w:proofErr w:type="spellStart"/>
      <w:r w:rsidR="001A01A3">
        <w:rPr>
          <w:rFonts w:ascii="Times New Roman" w:hAnsi="Times New Roman"/>
        </w:rPr>
        <w:t>późn</w:t>
      </w:r>
      <w:proofErr w:type="spellEnd"/>
      <w:r w:rsidR="001A01A3">
        <w:rPr>
          <w:rFonts w:ascii="Times New Roman" w:hAnsi="Times New Roman"/>
        </w:rPr>
        <w:t>. zm.)</w:t>
      </w:r>
      <w:r w:rsidRPr="008E5FB3">
        <w:rPr>
          <w:rFonts w:ascii="Times New Roman" w:hAnsi="Times New Roman"/>
        </w:rPr>
        <w:t xml:space="preserve">, który </w:t>
      </w:r>
      <w:r w:rsidR="005D0273" w:rsidRPr="008E5FB3">
        <w:rPr>
          <w:rFonts w:ascii="Times New Roman" w:hAnsi="Times New Roman"/>
        </w:rPr>
        <w:t xml:space="preserve">stanowił o przedstawieniu RDS </w:t>
      </w:r>
      <w:r w:rsidRPr="008E5FB3">
        <w:rPr>
          <w:rFonts w:ascii="Times New Roman" w:hAnsi="Times New Roman"/>
        </w:rPr>
        <w:t xml:space="preserve">informacji </w:t>
      </w:r>
      <w:r w:rsidR="00C20616" w:rsidRPr="008E5FB3">
        <w:rPr>
          <w:rFonts w:ascii="Times New Roman" w:hAnsi="Times New Roman"/>
        </w:rPr>
        <w:t>o </w:t>
      </w:r>
      <w:r w:rsidRPr="008E5FB3">
        <w:rPr>
          <w:rFonts w:ascii="Times New Roman" w:hAnsi="Times New Roman"/>
        </w:rPr>
        <w:t>przebiegu wykonania ustawy budżetowej za pierwsze półrocze</w:t>
      </w:r>
      <w:r w:rsidR="00757F5C" w:rsidRPr="00757F5C">
        <w:rPr>
          <w:rFonts w:ascii="Times New Roman" w:hAnsi="Times New Roman"/>
        </w:rPr>
        <w:t xml:space="preserve"> </w:t>
      </w:r>
      <w:r w:rsidR="00757F5C" w:rsidRPr="008E5FB3">
        <w:rPr>
          <w:rFonts w:ascii="Times New Roman" w:hAnsi="Times New Roman"/>
        </w:rPr>
        <w:t>sporządzanej przez Ministra Finansów</w:t>
      </w:r>
      <w:r w:rsidRPr="008E5FB3">
        <w:rPr>
          <w:rFonts w:ascii="Times New Roman" w:hAnsi="Times New Roman"/>
        </w:rPr>
        <w:t>. Zmiana ta jest skorelowana ze zmianą</w:t>
      </w:r>
      <w:r w:rsidR="00757F5C">
        <w:rPr>
          <w:rFonts w:ascii="Times New Roman" w:hAnsi="Times New Roman"/>
        </w:rPr>
        <w:t xml:space="preserve"> przepisów</w:t>
      </w:r>
      <w:r w:rsidRPr="008E5FB3">
        <w:rPr>
          <w:rFonts w:ascii="Times New Roman" w:hAnsi="Times New Roman"/>
        </w:rPr>
        <w:t xml:space="preserve"> ustawy o finansach publicznych (uchylenie art.</w:t>
      </w:r>
      <w:r w:rsidR="005D0273" w:rsidRPr="008E5FB3">
        <w:rPr>
          <w:rFonts w:ascii="Times New Roman" w:hAnsi="Times New Roman"/>
        </w:rPr>
        <w:t xml:space="preserve"> 183) i </w:t>
      </w:r>
      <w:r w:rsidR="00C20616" w:rsidRPr="008E5FB3">
        <w:rPr>
          <w:rFonts w:ascii="Times New Roman" w:hAnsi="Times New Roman"/>
        </w:rPr>
        <w:t>stanowi konsekwencję</w:t>
      </w:r>
      <w:r w:rsidR="00757F5C">
        <w:rPr>
          <w:rFonts w:ascii="Times New Roman" w:hAnsi="Times New Roman"/>
        </w:rPr>
        <w:t xml:space="preserve"> zniesienia </w:t>
      </w:r>
      <w:r w:rsidRPr="008E5FB3">
        <w:rPr>
          <w:rFonts w:ascii="Times New Roman" w:hAnsi="Times New Roman"/>
        </w:rPr>
        <w:t xml:space="preserve">obowiązku sporządzania </w:t>
      </w:r>
      <w:r w:rsidR="00F16961">
        <w:rPr>
          <w:rFonts w:ascii="Times New Roman" w:hAnsi="Times New Roman"/>
        </w:rPr>
        <w:t>informacji o </w:t>
      </w:r>
      <w:r w:rsidR="00C20616" w:rsidRPr="008E5FB3">
        <w:rPr>
          <w:rFonts w:ascii="Times New Roman" w:hAnsi="Times New Roman"/>
        </w:rPr>
        <w:t>przebie</w:t>
      </w:r>
      <w:r w:rsidR="00432593" w:rsidRPr="008E5FB3">
        <w:rPr>
          <w:rFonts w:ascii="Times New Roman" w:hAnsi="Times New Roman"/>
        </w:rPr>
        <w:t xml:space="preserve">gu wykonania ustawy budżetowej </w:t>
      </w:r>
      <w:r w:rsidR="00C20616" w:rsidRPr="008E5FB3">
        <w:rPr>
          <w:rFonts w:ascii="Times New Roman" w:hAnsi="Times New Roman"/>
        </w:rPr>
        <w:t xml:space="preserve">za pierwsze półrocze. Obowiązek sporządzania </w:t>
      </w:r>
      <w:r w:rsidR="00757F5C">
        <w:rPr>
          <w:rFonts w:ascii="Times New Roman" w:hAnsi="Times New Roman"/>
        </w:rPr>
        <w:t>ww.</w:t>
      </w:r>
      <w:r w:rsidR="00C20616" w:rsidRPr="008E5FB3">
        <w:rPr>
          <w:rFonts w:ascii="Times New Roman" w:hAnsi="Times New Roman"/>
        </w:rPr>
        <w:t xml:space="preserve"> informacji </w:t>
      </w:r>
      <w:r w:rsidR="00757F5C">
        <w:rPr>
          <w:rFonts w:ascii="Times New Roman" w:hAnsi="Times New Roman"/>
        </w:rPr>
        <w:t>wynika z przepisów</w:t>
      </w:r>
      <w:r w:rsidR="00C20616" w:rsidRPr="008E5FB3">
        <w:rPr>
          <w:rFonts w:ascii="Times New Roman" w:hAnsi="Times New Roman"/>
        </w:rPr>
        <w:t xml:space="preserve"> ustawy o finansach publicznyc</w:t>
      </w:r>
      <w:r w:rsidR="00757F5C">
        <w:rPr>
          <w:rFonts w:ascii="Times New Roman" w:hAnsi="Times New Roman"/>
        </w:rPr>
        <w:t>h –</w:t>
      </w:r>
      <w:r w:rsidR="00C20616" w:rsidRPr="008E5FB3">
        <w:rPr>
          <w:rFonts w:ascii="Times New Roman" w:hAnsi="Times New Roman"/>
        </w:rPr>
        <w:t xml:space="preserve"> </w:t>
      </w:r>
      <w:r w:rsidR="00757F5C">
        <w:rPr>
          <w:rFonts w:ascii="Times New Roman" w:hAnsi="Times New Roman"/>
        </w:rPr>
        <w:t xml:space="preserve">natomiast </w:t>
      </w:r>
      <w:r w:rsidR="00C20616" w:rsidRPr="008E5FB3">
        <w:rPr>
          <w:rFonts w:ascii="Times New Roman" w:hAnsi="Times New Roman"/>
        </w:rPr>
        <w:t>przepisy usta</w:t>
      </w:r>
      <w:r w:rsidR="00F16961">
        <w:rPr>
          <w:rFonts w:ascii="Times New Roman" w:hAnsi="Times New Roman"/>
        </w:rPr>
        <w:t>wy o </w:t>
      </w:r>
      <w:r w:rsidR="00757F5C">
        <w:rPr>
          <w:rFonts w:ascii="Times New Roman" w:hAnsi="Times New Roman"/>
        </w:rPr>
        <w:t xml:space="preserve">Radzie Dialogu Społecznego </w:t>
      </w:r>
      <w:r w:rsidR="00757F5C" w:rsidRPr="00C44295">
        <w:rPr>
          <w:rFonts w:ascii="Times New Roman" w:hAnsi="Times New Roman"/>
        </w:rPr>
        <w:t>i innych instytucjach dialogu społecznego,</w:t>
      </w:r>
      <w:r w:rsidR="00757F5C">
        <w:rPr>
          <w:rFonts w:ascii="Times New Roman" w:hAnsi="Times New Roman"/>
        </w:rPr>
        <w:t xml:space="preserve"> </w:t>
      </w:r>
      <w:r w:rsidR="00C20616" w:rsidRPr="008E5FB3">
        <w:rPr>
          <w:rFonts w:ascii="Times New Roman" w:hAnsi="Times New Roman"/>
        </w:rPr>
        <w:t>przewidywały przedstawienie informacji również</w:t>
      </w:r>
      <w:r w:rsidR="00C51137" w:rsidRPr="008E5FB3">
        <w:rPr>
          <w:rFonts w:ascii="Times New Roman" w:hAnsi="Times New Roman"/>
        </w:rPr>
        <w:t xml:space="preserve"> </w:t>
      </w:r>
      <w:r w:rsidR="00757F5C">
        <w:rPr>
          <w:rFonts w:ascii="Times New Roman" w:hAnsi="Times New Roman"/>
        </w:rPr>
        <w:t>temu organowi</w:t>
      </w:r>
      <w:r w:rsidR="00C51137" w:rsidRPr="008E5FB3">
        <w:rPr>
          <w:rFonts w:ascii="Times New Roman" w:hAnsi="Times New Roman"/>
        </w:rPr>
        <w:t xml:space="preserve">. </w:t>
      </w:r>
      <w:r w:rsidR="00757F5C">
        <w:rPr>
          <w:rFonts w:ascii="Times New Roman" w:hAnsi="Times New Roman"/>
        </w:rPr>
        <w:t xml:space="preserve">A zatem, </w:t>
      </w:r>
      <w:r w:rsidR="00C51137" w:rsidRPr="008E5FB3">
        <w:rPr>
          <w:rFonts w:ascii="Times New Roman" w:hAnsi="Times New Roman"/>
        </w:rPr>
        <w:t>w </w:t>
      </w:r>
      <w:r w:rsidR="00C20616" w:rsidRPr="008E5FB3">
        <w:rPr>
          <w:rFonts w:ascii="Times New Roman" w:hAnsi="Times New Roman"/>
        </w:rPr>
        <w:t xml:space="preserve">przypadku uchylenia obowiązku </w:t>
      </w:r>
      <w:r w:rsidR="00757F5C">
        <w:rPr>
          <w:rFonts w:ascii="Times New Roman" w:hAnsi="Times New Roman"/>
        </w:rPr>
        <w:t>sporządzania informacji</w:t>
      </w:r>
      <w:r w:rsidR="00C20616" w:rsidRPr="008E5FB3">
        <w:rPr>
          <w:rFonts w:ascii="Times New Roman" w:hAnsi="Times New Roman"/>
        </w:rPr>
        <w:t>,</w:t>
      </w:r>
      <w:r w:rsidR="00757F5C">
        <w:rPr>
          <w:rFonts w:ascii="Times New Roman" w:hAnsi="Times New Roman"/>
        </w:rPr>
        <w:t xml:space="preserve"> </w:t>
      </w:r>
      <w:r w:rsidR="00757F5C" w:rsidRPr="008E5FB3">
        <w:rPr>
          <w:rFonts w:ascii="Times New Roman" w:hAnsi="Times New Roman"/>
        </w:rPr>
        <w:t xml:space="preserve">należało uchylić również </w:t>
      </w:r>
      <w:r w:rsidR="00757F5C">
        <w:rPr>
          <w:rFonts w:ascii="Times New Roman" w:hAnsi="Times New Roman"/>
        </w:rPr>
        <w:t xml:space="preserve">bezpośrednio powiązany z nim </w:t>
      </w:r>
      <w:r w:rsidR="00757F5C" w:rsidRPr="008E5FB3">
        <w:rPr>
          <w:rFonts w:ascii="Times New Roman" w:hAnsi="Times New Roman"/>
        </w:rPr>
        <w:t>art. 20</w:t>
      </w:r>
      <w:r w:rsidR="00757F5C">
        <w:rPr>
          <w:rFonts w:ascii="Times New Roman" w:hAnsi="Times New Roman"/>
        </w:rPr>
        <w:t xml:space="preserve"> ww. ustawy.</w:t>
      </w:r>
    </w:p>
    <w:p w14:paraId="7C5C413A" w14:textId="77777777" w:rsidR="002B55EE" w:rsidRDefault="002B55EE" w:rsidP="00C90852">
      <w:pPr>
        <w:spacing w:line="276" w:lineRule="auto"/>
        <w:jc w:val="both"/>
        <w:rPr>
          <w:rFonts w:ascii="Times New Roman" w:hAnsi="Times New Roman"/>
        </w:rPr>
      </w:pPr>
    </w:p>
    <w:p w14:paraId="7A3F57B6" w14:textId="63F7C300" w:rsidR="002B55EE" w:rsidRDefault="005C6860" w:rsidP="00C90852">
      <w:pPr>
        <w:spacing w:line="276" w:lineRule="auto"/>
        <w:jc w:val="both"/>
        <w:rPr>
          <w:rFonts w:ascii="Times New Roman" w:hAnsi="Times New Roman"/>
        </w:rPr>
      </w:pPr>
      <w:r>
        <w:rPr>
          <w:rFonts w:ascii="Times New Roman" w:hAnsi="Times New Roman"/>
        </w:rPr>
        <w:t>W art. 24</w:t>
      </w:r>
      <w:r w:rsidR="002B55EE">
        <w:rPr>
          <w:rFonts w:ascii="Times New Roman" w:hAnsi="Times New Roman"/>
        </w:rPr>
        <w:t xml:space="preserve"> dokonano zmiany brzmienia art. 53a ustawy z dni</w:t>
      </w:r>
      <w:r w:rsidR="00F16961">
        <w:rPr>
          <w:rFonts w:ascii="Times New Roman" w:hAnsi="Times New Roman"/>
        </w:rPr>
        <w:t xml:space="preserve">a 28 stycznia 2016 r. – </w:t>
      </w:r>
      <w:r w:rsidR="00F16961" w:rsidRPr="008A6F71">
        <w:rPr>
          <w:rFonts w:ascii="Times New Roman" w:hAnsi="Times New Roman"/>
          <w:i/>
        </w:rPr>
        <w:t>Prawo o </w:t>
      </w:r>
      <w:r w:rsidR="002B55EE" w:rsidRPr="008A6F71">
        <w:rPr>
          <w:rFonts w:ascii="Times New Roman" w:hAnsi="Times New Roman"/>
          <w:i/>
        </w:rPr>
        <w:t>prokuraturze</w:t>
      </w:r>
      <w:r w:rsidR="001A01A3">
        <w:rPr>
          <w:rFonts w:ascii="Times New Roman" w:hAnsi="Times New Roman"/>
        </w:rPr>
        <w:t xml:space="preserve"> (Dz. U. z 2021 r. poz. 66, z </w:t>
      </w:r>
      <w:proofErr w:type="spellStart"/>
      <w:r w:rsidR="001A01A3">
        <w:rPr>
          <w:rFonts w:ascii="Times New Roman" w:hAnsi="Times New Roman"/>
        </w:rPr>
        <w:t>późn</w:t>
      </w:r>
      <w:proofErr w:type="spellEnd"/>
      <w:r w:rsidR="001A01A3">
        <w:rPr>
          <w:rFonts w:ascii="Times New Roman" w:hAnsi="Times New Roman"/>
        </w:rPr>
        <w:t>. zm.)</w:t>
      </w:r>
      <w:r w:rsidR="002B55EE" w:rsidRPr="002B55EE">
        <w:t xml:space="preserve"> </w:t>
      </w:r>
      <w:r w:rsidR="003B3C60">
        <w:rPr>
          <w:rFonts w:ascii="Times New Roman" w:hAnsi="Times New Roman"/>
        </w:rPr>
        <w:t>Wyrazy „Ministra Finansów” zastąpiono wyrazami „Skarbu Państwa”</w:t>
      </w:r>
      <w:r w:rsidR="001977C2">
        <w:rPr>
          <w:rFonts w:ascii="Times New Roman" w:hAnsi="Times New Roman"/>
        </w:rPr>
        <w:t>.</w:t>
      </w:r>
    </w:p>
    <w:p w14:paraId="6310F1CC" w14:textId="77777777" w:rsidR="001977C2" w:rsidRDefault="001977C2" w:rsidP="00C90852">
      <w:pPr>
        <w:spacing w:line="276" w:lineRule="auto"/>
        <w:jc w:val="both"/>
        <w:rPr>
          <w:rFonts w:ascii="Times New Roman" w:hAnsi="Times New Roman"/>
        </w:rPr>
      </w:pPr>
    </w:p>
    <w:p w14:paraId="06BFA0AF" w14:textId="036A3B74" w:rsidR="001977C2" w:rsidRDefault="001977C2" w:rsidP="00C90852">
      <w:pPr>
        <w:spacing w:line="276" w:lineRule="auto"/>
        <w:jc w:val="both"/>
        <w:rPr>
          <w:rFonts w:ascii="Times New Roman" w:hAnsi="Times New Roman"/>
        </w:rPr>
      </w:pPr>
      <w:r>
        <w:rPr>
          <w:rFonts w:ascii="Times New Roman" w:hAnsi="Times New Roman"/>
        </w:rPr>
        <w:t xml:space="preserve">W art. 25 dokonano zmian w art. 3 ustawy </w:t>
      </w:r>
      <w:r w:rsidRPr="001977C2">
        <w:rPr>
          <w:rFonts w:ascii="Times New Roman" w:hAnsi="Times New Roman"/>
        </w:rPr>
        <w:t xml:space="preserve">z dnia 15 września 2017 r. o Narodowym Instytucie Wolności </w:t>
      </w:r>
      <w:r w:rsidR="001A01A3">
        <w:rPr>
          <w:rFonts w:ascii="Times New Roman" w:hAnsi="Times New Roman"/>
        </w:rPr>
        <w:t>–</w:t>
      </w:r>
      <w:r w:rsidRPr="001977C2">
        <w:rPr>
          <w:rFonts w:ascii="Times New Roman" w:hAnsi="Times New Roman"/>
        </w:rPr>
        <w:t xml:space="preserve"> Centrum Rozwoju Społeczeństwa Obywatelskiego</w:t>
      </w:r>
      <w:r w:rsidR="001A01A3">
        <w:rPr>
          <w:rFonts w:ascii="Times New Roman" w:hAnsi="Times New Roman"/>
        </w:rPr>
        <w:t xml:space="preserve"> (Dz. U. z 2022 r. poz. 393, z </w:t>
      </w:r>
      <w:proofErr w:type="spellStart"/>
      <w:r w:rsidR="001A01A3">
        <w:rPr>
          <w:rFonts w:ascii="Times New Roman" w:hAnsi="Times New Roman"/>
        </w:rPr>
        <w:t>późn</w:t>
      </w:r>
      <w:proofErr w:type="spellEnd"/>
      <w:r w:rsidR="001A01A3">
        <w:rPr>
          <w:rFonts w:ascii="Times New Roman" w:hAnsi="Times New Roman"/>
        </w:rPr>
        <w:t>. zm.)</w:t>
      </w:r>
      <w:r w:rsidR="00E36EC1">
        <w:rPr>
          <w:rFonts w:ascii="Times New Roman" w:hAnsi="Times New Roman"/>
        </w:rPr>
        <w:t>, polegającej na tym, że w </w:t>
      </w:r>
      <w:r w:rsidR="00E36EC1" w:rsidRPr="00E36EC1">
        <w:rPr>
          <w:rFonts w:ascii="Times New Roman" w:hAnsi="Times New Roman"/>
        </w:rPr>
        <w:t>zakresie uprawnień ministra sprawującego nadzór nad agencją wykonawczą do Przewodniczącego Komitetu stosuje się przepisy usta</w:t>
      </w:r>
      <w:r w:rsidR="00E36EC1">
        <w:rPr>
          <w:rFonts w:ascii="Times New Roman" w:hAnsi="Times New Roman"/>
        </w:rPr>
        <w:t>wy o finansach publicznych. Powyższa zmiana ma związek ze zmianami w zakresie planów finansowych jednostek sektora finansów publicznych.</w:t>
      </w:r>
    </w:p>
    <w:p w14:paraId="5991DD80" w14:textId="77777777" w:rsidR="00682410" w:rsidRDefault="00682410" w:rsidP="00C90852">
      <w:pPr>
        <w:spacing w:line="276" w:lineRule="auto"/>
        <w:jc w:val="both"/>
        <w:rPr>
          <w:rFonts w:ascii="Times New Roman" w:hAnsi="Times New Roman"/>
        </w:rPr>
      </w:pPr>
    </w:p>
    <w:p w14:paraId="08C47DFC" w14:textId="6533BBB3" w:rsidR="008E5FB3" w:rsidRPr="00291913" w:rsidRDefault="00682410" w:rsidP="00C90852">
      <w:pPr>
        <w:spacing w:line="276" w:lineRule="auto"/>
        <w:jc w:val="both"/>
        <w:rPr>
          <w:rFonts w:ascii="Times New Roman" w:hAnsi="Times New Roman"/>
          <w:i/>
        </w:rPr>
      </w:pPr>
      <w:r>
        <w:rPr>
          <w:rFonts w:ascii="Times New Roman" w:hAnsi="Times New Roman"/>
        </w:rPr>
        <w:lastRenderedPageBreak/>
        <w:t xml:space="preserve">W art. </w:t>
      </w:r>
      <w:r w:rsidR="003F79C7">
        <w:rPr>
          <w:rFonts w:ascii="Times New Roman" w:hAnsi="Times New Roman"/>
        </w:rPr>
        <w:t>3</w:t>
      </w:r>
      <w:r w:rsidR="001977C2">
        <w:rPr>
          <w:rFonts w:ascii="Times New Roman" w:hAnsi="Times New Roman"/>
        </w:rPr>
        <w:t>3</w:t>
      </w:r>
      <w:r>
        <w:rPr>
          <w:rFonts w:ascii="Times New Roman" w:hAnsi="Times New Roman"/>
        </w:rPr>
        <w:t xml:space="preserve"> zmieniono brzmienie art. 47 ustawy </w:t>
      </w:r>
      <w:r w:rsidRPr="00682410">
        <w:rPr>
          <w:rFonts w:ascii="Times New Roman" w:hAnsi="Times New Roman"/>
        </w:rPr>
        <w:t xml:space="preserve">z dnia 14 sierpnia 2020 r. </w:t>
      </w:r>
      <w:r w:rsidRPr="001A01A3">
        <w:rPr>
          <w:rFonts w:ascii="Times New Roman" w:hAnsi="Times New Roman"/>
          <w:i/>
        </w:rPr>
        <w:t>o szczególnych rozwiązaniach dotyczących wsparcia służb mundurowych nadzorowanych przez ministra właściwego do spraw wewnętrznych, o zmianie ustawy o Służbie Więziennej oraz niektórych innych ustaw</w:t>
      </w:r>
      <w:r w:rsidR="001A01A3">
        <w:rPr>
          <w:rFonts w:ascii="Times New Roman" w:hAnsi="Times New Roman"/>
        </w:rPr>
        <w:t xml:space="preserve"> (Dz. U. poz. 1610)</w:t>
      </w:r>
      <w:r>
        <w:rPr>
          <w:rFonts w:ascii="Times New Roman" w:hAnsi="Times New Roman"/>
        </w:rPr>
        <w:t>.</w:t>
      </w:r>
      <w:r w:rsidR="00AB57AD">
        <w:rPr>
          <w:rFonts w:ascii="Times New Roman" w:hAnsi="Times New Roman"/>
        </w:rPr>
        <w:t xml:space="preserve"> </w:t>
      </w:r>
      <w:r w:rsidR="00AB57AD" w:rsidRPr="00AB57AD">
        <w:rPr>
          <w:rFonts w:ascii="Times New Roman" w:hAnsi="Times New Roman"/>
        </w:rPr>
        <w:t>Zgodnie z ob</w:t>
      </w:r>
      <w:r w:rsidR="00AB57AD">
        <w:rPr>
          <w:rFonts w:ascii="Times New Roman" w:hAnsi="Times New Roman"/>
        </w:rPr>
        <w:t>ecnym brzmieniem art. 47 ust.</w:t>
      </w:r>
      <w:r w:rsidR="00757F5C">
        <w:rPr>
          <w:rFonts w:ascii="Times New Roman" w:hAnsi="Times New Roman"/>
        </w:rPr>
        <w:t xml:space="preserve"> </w:t>
      </w:r>
      <w:r w:rsidR="00AB57AD">
        <w:rPr>
          <w:rFonts w:ascii="Times New Roman" w:hAnsi="Times New Roman"/>
        </w:rPr>
        <w:t xml:space="preserve">1 </w:t>
      </w:r>
      <w:r w:rsidR="00757F5C">
        <w:rPr>
          <w:rFonts w:ascii="Times New Roman" w:hAnsi="Times New Roman"/>
        </w:rPr>
        <w:t>ww.</w:t>
      </w:r>
      <w:r w:rsidR="00AB57AD">
        <w:rPr>
          <w:rFonts w:ascii="Times New Roman" w:hAnsi="Times New Roman"/>
        </w:rPr>
        <w:t xml:space="preserve"> ustawy </w:t>
      </w:r>
      <w:r w:rsidR="00AB57AD" w:rsidRPr="00AB57AD">
        <w:rPr>
          <w:rFonts w:ascii="Times New Roman" w:hAnsi="Times New Roman"/>
        </w:rPr>
        <w:t>minister właściwy do spraw wewnętrznych, po uzyskaniu zgody ministra właściwego do spraw finansów publicznych, może dokonywać przeniesień wydatków budżetowych między częściami, działami, rozdziałami i paragrafami klasyfikacji wydatków budżetu państwa w celu wykonania niniejszej ustawy.</w:t>
      </w:r>
      <w:r w:rsidR="00757F5C">
        <w:rPr>
          <w:rFonts w:ascii="Times New Roman" w:hAnsi="Times New Roman"/>
        </w:rPr>
        <w:t xml:space="preserve"> </w:t>
      </w:r>
      <w:r w:rsidR="00AB57AD" w:rsidRPr="00AB57AD">
        <w:rPr>
          <w:rFonts w:ascii="Times New Roman" w:hAnsi="Times New Roman"/>
        </w:rPr>
        <w:t xml:space="preserve">Powyższa regulacja stanowi </w:t>
      </w:r>
      <w:r w:rsidR="00AB57AD" w:rsidRPr="00EA5A8C">
        <w:rPr>
          <w:rFonts w:ascii="Times New Roman" w:hAnsi="Times New Roman"/>
          <w:i/>
        </w:rPr>
        <w:t xml:space="preserve">lex </w:t>
      </w:r>
      <w:proofErr w:type="spellStart"/>
      <w:r w:rsidR="00AB57AD" w:rsidRPr="00EA5A8C">
        <w:rPr>
          <w:rFonts w:ascii="Times New Roman" w:hAnsi="Times New Roman"/>
          <w:i/>
        </w:rPr>
        <w:t>specialis</w:t>
      </w:r>
      <w:proofErr w:type="spellEnd"/>
      <w:r w:rsidR="00AB57AD" w:rsidRPr="00AB57AD">
        <w:rPr>
          <w:rFonts w:ascii="Times New Roman" w:hAnsi="Times New Roman"/>
        </w:rPr>
        <w:t xml:space="preserve"> w</w:t>
      </w:r>
      <w:r w:rsidR="00757F5C">
        <w:rPr>
          <w:rFonts w:ascii="Times New Roman" w:hAnsi="Times New Roman"/>
        </w:rPr>
        <w:t>zględem przepisów ustawy o </w:t>
      </w:r>
      <w:r w:rsidR="00AB57AD" w:rsidRPr="00AB57AD">
        <w:rPr>
          <w:rFonts w:ascii="Times New Roman" w:hAnsi="Times New Roman"/>
        </w:rPr>
        <w:t xml:space="preserve">finansach publicznych. </w:t>
      </w:r>
      <w:r w:rsidR="00757F5C">
        <w:rPr>
          <w:rFonts w:ascii="Times New Roman" w:hAnsi="Times New Roman"/>
        </w:rPr>
        <w:t xml:space="preserve">Celem </w:t>
      </w:r>
      <w:r w:rsidR="00AB57AD" w:rsidRPr="00AB57AD">
        <w:rPr>
          <w:rFonts w:ascii="Times New Roman" w:hAnsi="Times New Roman"/>
        </w:rPr>
        <w:t>pro</w:t>
      </w:r>
      <w:r w:rsidR="00757F5C">
        <w:rPr>
          <w:rFonts w:ascii="Times New Roman" w:hAnsi="Times New Roman"/>
        </w:rPr>
        <w:t>jektowanej</w:t>
      </w:r>
      <w:r w:rsidR="00AB57AD" w:rsidRPr="00AB57AD">
        <w:rPr>
          <w:rFonts w:ascii="Times New Roman" w:hAnsi="Times New Roman"/>
        </w:rPr>
        <w:t xml:space="preserve"> zmiany jest usunięcie </w:t>
      </w:r>
      <w:r w:rsidR="00757F5C">
        <w:rPr>
          <w:rFonts w:ascii="Times New Roman" w:hAnsi="Times New Roman"/>
        </w:rPr>
        <w:t xml:space="preserve">istniejących </w:t>
      </w:r>
      <w:r w:rsidR="00AB57AD" w:rsidRPr="00AB57AD">
        <w:rPr>
          <w:rFonts w:ascii="Times New Roman" w:hAnsi="Times New Roman"/>
        </w:rPr>
        <w:t xml:space="preserve">wątpliwości </w:t>
      </w:r>
      <w:r w:rsidR="00757F5C">
        <w:rPr>
          <w:rFonts w:ascii="Times New Roman" w:hAnsi="Times New Roman"/>
        </w:rPr>
        <w:t xml:space="preserve">interpretacyjnych </w:t>
      </w:r>
      <w:r w:rsidR="00AB57AD" w:rsidRPr="00AB57AD">
        <w:rPr>
          <w:rFonts w:ascii="Times New Roman" w:hAnsi="Times New Roman"/>
        </w:rPr>
        <w:t>poprzez wyraźne wskazanie w ust. 1, że przeniesień wydatków budżetu państwa można dokonywać wyłącznie między działami, rozdziałami i paragrafami klasyfikacji wydatków. Ponadto wskazano, że przeniesie</w:t>
      </w:r>
      <w:r w:rsidR="00757F5C">
        <w:rPr>
          <w:rFonts w:ascii="Times New Roman" w:hAnsi="Times New Roman"/>
        </w:rPr>
        <w:t>ń tych</w:t>
      </w:r>
      <w:r w:rsidR="00AB57AD" w:rsidRPr="00AB57AD">
        <w:rPr>
          <w:rFonts w:ascii="Times New Roman" w:hAnsi="Times New Roman"/>
        </w:rPr>
        <w:t xml:space="preserve"> będzie dokonywał minister właściwy do spraw finansów publicznych na wniosek ministra wł</w:t>
      </w:r>
      <w:r w:rsidR="00757F5C">
        <w:rPr>
          <w:rFonts w:ascii="Times New Roman" w:hAnsi="Times New Roman"/>
        </w:rPr>
        <w:t xml:space="preserve">aściwego do spraw wewnętrznych, jak również doprecyzowano, że przeniesienia </w:t>
      </w:r>
      <w:r w:rsidR="00AB57AD" w:rsidRPr="00AB57AD">
        <w:rPr>
          <w:rFonts w:ascii="Times New Roman" w:hAnsi="Times New Roman"/>
        </w:rPr>
        <w:t xml:space="preserve">będą dokonywane </w:t>
      </w:r>
      <w:r w:rsidR="00757F5C">
        <w:rPr>
          <w:rFonts w:ascii="Times New Roman" w:hAnsi="Times New Roman"/>
        </w:rPr>
        <w:t>jedynie</w:t>
      </w:r>
      <w:r w:rsidR="00AB57AD" w:rsidRPr="00AB57AD">
        <w:rPr>
          <w:rFonts w:ascii="Times New Roman" w:hAnsi="Times New Roman"/>
        </w:rPr>
        <w:t xml:space="preserve"> w zakresie świadczeń motywacyjnych. W ust. 2 sformułowany </w:t>
      </w:r>
      <w:r w:rsidR="00757F5C" w:rsidRPr="00AB57AD">
        <w:rPr>
          <w:rFonts w:ascii="Times New Roman" w:hAnsi="Times New Roman"/>
        </w:rPr>
        <w:t xml:space="preserve">został </w:t>
      </w:r>
      <w:r w:rsidR="00AB57AD" w:rsidRPr="00AB57AD">
        <w:rPr>
          <w:rFonts w:ascii="Times New Roman" w:hAnsi="Times New Roman"/>
        </w:rPr>
        <w:t xml:space="preserve">analogiczny przepis w zakresie świadczeń motywacyjnych przysługujących funkcjonariuszom Służby Więziennej. Przeniesień wydatków na ww. świadczenia będzie dokonywał minister właściwy do spraw finansów publicznych na wniosek Ministra Sprawiedliwości. Natomiast Prezes Rady Ministrów będzie mógł, </w:t>
      </w:r>
      <w:r w:rsidR="00757F5C">
        <w:rPr>
          <w:rFonts w:ascii="Times New Roman" w:hAnsi="Times New Roman"/>
        </w:rPr>
        <w:t xml:space="preserve">w drodze rozporządzenia, </w:t>
      </w:r>
      <w:r w:rsidR="00AB57AD" w:rsidRPr="00AB57AD">
        <w:rPr>
          <w:rFonts w:ascii="Times New Roman" w:hAnsi="Times New Roman"/>
        </w:rPr>
        <w:t xml:space="preserve">dokonywać przeniesień wydatków budżetu państwa na świadczenia motywacyjne, przysługujące funkcjonariuszom pożarnictwa pełniącym służbę w Państwowej Straży Pożarnej, między częściami, działami, rozdziałami i paragrafami klasyfikacji wydatków w celu wykonania ustawy z dnia 14 sierpnia 2020 r. </w:t>
      </w:r>
      <w:r w:rsidR="00AB57AD" w:rsidRPr="00291913">
        <w:rPr>
          <w:rFonts w:ascii="Times New Roman" w:hAnsi="Times New Roman"/>
          <w:i/>
        </w:rPr>
        <w:t>o szczególnych rozwiązaniach dotyczących wsparcia służb mundurowych nadzorowanych przez ministra właściwego do spraw wewnętrznych, o zmianie ustawy o Służbie Więziennej oraz niektórych innych ustaw.</w:t>
      </w:r>
    </w:p>
    <w:p w14:paraId="3192D656" w14:textId="77777777" w:rsidR="002B55EE" w:rsidRDefault="002B55EE" w:rsidP="00C90852">
      <w:pPr>
        <w:spacing w:line="276" w:lineRule="auto"/>
        <w:jc w:val="both"/>
        <w:rPr>
          <w:rFonts w:ascii="Times New Roman" w:hAnsi="Times New Roman"/>
        </w:rPr>
      </w:pPr>
    </w:p>
    <w:p w14:paraId="693561FA" w14:textId="2A63C2B4" w:rsidR="002B55EE" w:rsidRPr="008E5FB3" w:rsidRDefault="002B55EE" w:rsidP="00C90852">
      <w:pPr>
        <w:spacing w:line="276" w:lineRule="auto"/>
        <w:jc w:val="both"/>
        <w:rPr>
          <w:rFonts w:ascii="Times New Roman" w:hAnsi="Times New Roman"/>
        </w:rPr>
      </w:pPr>
      <w:r>
        <w:rPr>
          <w:rFonts w:ascii="Times New Roman" w:hAnsi="Times New Roman"/>
        </w:rPr>
        <w:t xml:space="preserve">W art. </w:t>
      </w:r>
      <w:r w:rsidR="003F79C7">
        <w:rPr>
          <w:rFonts w:ascii="Times New Roman" w:hAnsi="Times New Roman"/>
        </w:rPr>
        <w:t>3</w:t>
      </w:r>
      <w:r w:rsidR="001977C2">
        <w:rPr>
          <w:rFonts w:ascii="Times New Roman" w:hAnsi="Times New Roman"/>
        </w:rPr>
        <w:t>4</w:t>
      </w:r>
      <w:r>
        <w:rPr>
          <w:rFonts w:ascii="Times New Roman" w:hAnsi="Times New Roman"/>
        </w:rPr>
        <w:t xml:space="preserve"> </w:t>
      </w:r>
      <w:r w:rsidRPr="002B55EE">
        <w:rPr>
          <w:rFonts w:ascii="Times New Roman" w:hAnsi="Times New Roman"/>
        </w:rPr>
        <w:t>dokonano zmiany brzmienia</w:t>
      </w:r>
      <w:r>
        <w:rPr>
          <w:rFonts w:ascii="Times New Roman" w:hAnsi="Times New Roman"/>
        </w:rPr>
        <w:t xml:space="preserve"> art. 6 ustawy </w:t>
      </w:r>
      <w:r w:rsidRPr="002B55EE">
        <w:rPr>
          <w:rFonts w:ascii="Times New Roman" w:hAnsi="Times New Roman"/>
        </w:rPr>
        <w:t xml:space="preserve">z dnia 20 maja 2021 r. </w:t>
      </w:r>
      <w:r w:rsidRPr="00291913">
        <w:rPr>
          <w:rFonts w:ascii="Times New Roman" w:hAnsi="Times New Roman"/>
          <w:i/>
        </w:rPr>
        <w:t xml:space="preserve">o zmianie ustawy </w:t>
      </w:r>
      <w:r w:rsidR="00291913" w:rsidRPr="00291913">
        <w:rPr>
          <w:rFonts w:ascii="Times New Roman" w:hAnsi="Times New Roman"/>
          <w:i/>
        </w:rPr>
        <w:t>–</w:t>
      </w:r>
      <w:r w:rsidRPr="00291913">
        <w:rPr>
          <w:rFonts w:ascii="Times New Roman" w:hAnsi="Times New Roman"/>
          <w:i/>
        </w:rPr>
        <w:t xml:space="preserve"> Prawo o prokuraturze, ustawy o finansach publicznych oraz niektórych innych ustaw</w:t>
      </w:r>
      <w:r w:rsidR="00291913">
        <w:rPr>
          <w:rFonts w:ascii="Times New Roman" w:hAnsi="Times New Roman"/>
        </w:rPr>
        <w:t xml:space="preserve"> (Dz. U. poz. 1236) </w:t>
      </w:r>
      <w:r>
        <w:rPr>
          <w:rFonts w:ascii="Times New Roman" w:hAnsi="Times New Roman"/>
        </w:rPr>
        <w:t xml:space="preserve">przez zastąpienie wyrazów </w:t>
      </w:r>
      <w:r w:rsidR="00AC4A2D">
        <w:rPr>
          <w:rFonts w:ascii="Times New Roman" w:hAnsi="Times New Roman"/>
        </w:rPr>
        <w:t>„Ministra Finansów” wyrazami „</w:t>
      </w:r>
      <w:r w:rsidRPr="002B55EE">
        <w:rPr>
          <w:rFonts w:ascii="Times New Roman" w:hAnsi="Times New Roman"/>
        </w:rPr>
        <w:t xml:space="preserve">Skarbu </w:t>
      </w:r>
      <w:r w:rsidR="00AC4A2D">
        <w:rPr>
          <w:rFonts w:ascii="Times New Roman" w:hAnsi="Times New Roman"/>
        </w:rPr>
        <w:t>Państwa”</w:t>
      </w:r>
      <w:r w:rsidRPr="002B55EE">
        <w:rPr>
          <w:rFonts w:ascii="Times New Roman" w:hAnsi="Times New Roman"/>
        </w:rPr>
        <w:t>.</w:t>
      </w:r>
    </w:p>
    <w:p w14:paraId="65B4E0E0" w14:textId="77777777" w:rsidR="00E313CE" w:rsidRPr="008E5FB3" w:rsidRDefault="00E313CE" w:rsidP="00C90852">
      <w:pPr>
        <w:spacing w:line="276" w:lineRule="auto"/>
        <w:jc w:val="both"/>
        <w:rPr>
          <w:rFonts w:ascii="Times New Roman" w:hAnsi="Times New Roman"/>
        </w:rPr>
      </w:pPr>
    </w:p>
    <w:p w14:paraId="506056DF" w14:textId="77777777" w:rsidR="00CC298B" w:rsidRDefault="00CC298B" w:rsidP="00C90852">
      <w:pPr>
        <w:spacing w:after="200" w:line="276" w:lineRule="auto"/>
        <w:jc w:val="both"/>
        <w:rPr>
          <w:rFonts w:ascii="Times New Roman" w:eastAsia="Times New Roman" w:hAnsi="Times New Roman"/>
          <w:b/>
          <w:bCs/>
          <w:u w:val="single"/>
          <w:lang w:eastAsia="pl-PL"/>
        </w:rPr>
      </w:pPr>
      <w:r w:rsidRPr="008E5FB3">
        <w:rPr>
          <w:rFonts w:ascii="Times New Roman" w:eastAsia="Times New Roman" w:hAnsi="Times New Roman"/>
          <w:b/>
          <w:bCs/>
          <w:u w:val="single"/>
          <w:lang w:eastAsia="pl-PL"/>
        </w:rPr>
        <w:t>Przepisy przejściowe</w:t>
      </w:r>
    </w:p>
    <w:p w14:paraId="7F9F6CF3" w14:textId="77777777" w:rsidR="007F6800" w:rsidRDefault="007F6800" w:rsidP="00026DDF">
      <w:pPr>
        <w:spacing w:line="276" w:lineRule="auto"/>
        <w:jc w:val="both"/>
        <w:rPr>
          <w:rFonts w:ascii="Times New Roman" w:eastAsia="Times New Roman" w:hAnsi="Times New Roman"/>
          <w:lang w:eastAsia="pl-PL"/>
        </w:rPr>
      </w:pPr>
    </w:p>
    <w:p w14:paraId="736525ED" w14:textId="28D13BCC" w:rsidR="0087564C" w:rsidRDefault="00026DDF" w:rsidP="00026DDF">
      <w:pPr>
        <w:spacing w:line="276" w:lineRule="auto"/>
        <w:jc w:val="both"/>
        <w:rPr>
          <w:rFonts w:ascii="Times New Roman" w:eastAsia="Times New Roman" w:hAnsi="Times New Roman"/>
          <w:lang w:eastAsia="pl-PL"/>
        </w:rPr>
      </w:pPr>
      <w:r>
        <w:rPr>
          <w:rFonts w:ascii="Times New Roman" w:eastAsia="Times New Roman" w:hAnsi="Times New Roman"/>
          <w:lang w:eastAsia="pl-PL"/>
        </w:rPr>
        <w:t>Art. 3</w:t>
      </w:r>
      <w:r w:rsidR="007F6800">
        <w:rPr>
          <w:rFonts w:ascii="Times New Roman" w:eastAsia="Times New Roman" w:hAnsi="Times New Roman"/>
          <w:lang w:eastAsia="pl-PL"/>
        </w:rPr>
        <w:t>7</w:t>
      </w:r>
      <w:r>
        <w:rPr>
          <w:rFonts w:ascii="Times New Roman" w:eastAsia="Times New Roman" w:hAnsi="Times New Roman"/>
          <w:lang w:eastAsia="pl-PL"/>
        </w:rPr>
        <w:t xml:space="preserve"> zawiera </w:t>
      </w:r>
      <w:r w:rsidRPr="0039495C">
        <w:rPr>
          <w:rFonts w:ascii="Times New Roman" w:eastAsia="Times New Roman" w:hAnsi="Times New Roman"/>
          <w:lang w:eastAsia="pl-PL"/>
        </w:rPr>
        <w:t>rozwiązanie, zgodnie z którym przep</w:t>
      </w:r>
      <w:r>
        <w:rPr>
          <w:rFonts w:ascii="Times New Roman" w:eastAsia="Times New Roman" w:hAnsi="Times New Roman"/>
          <w:lang w:eastAsia="pl-PL"/>
        </w:rPr>
        <w:t>isy art. 2 pkt 3 ustawy o finansach publicznych ma</w:t>
      </w:r>
      <w:r w:rsidRPr="0039495C">
        <w:rPr>
          <w:rFonts w:ascii="Times New Roman" w:eastAsia="Times New Roman" w:hAnsi="Times New Roman"/>
          <w:lang w:eastAsia="pl-PL"/>
        </w:rPr>
        <w:t xml:space="preserve"> zastosowanie po raz pierwszy do opracowania materiałów do projek</w:t>
      </w:r>
      <w:r>
        <w:rPr>
          <w:rFonts w:ascii="Times New Roman" w:eastAsia="Times New Roman" w:hAnsi="Times New Roman"/>
          <w:lang w:eastAsia="pl-PL"/>
        </w:rPr>
        <w:t>tu ustawy budżetowej na rok 2024</w:t>
      </w:r>
      <w:r w:rsidRPr="0039495C">
        <w:rPr>
          <w:rFonts w:ascii="Times New Roman" w:eastAsia="Times New Roman" w:hAnsi="Times New Roman"/>
          <w:lang w:eastAsia="pl-PL"/>
        </w:rPr>
        <w:t xml:space="preserve"> oraz sporządzenia sprawozdań z wykonani</w:t>
      </w:r>
      <w:r>
        <w:rPr>
          <w:rFonts w:ascii="Times New Roman" w:eastAsia="Times New Roman" w:hAnsi="Times New Roman"/>
          <w:lang w:eastAsia="pl-PL"/>
        </w:rPr>
        <w:t>a planów finansowych za rok 2024</w:t>
      </w:r>
      <w:r w:rsidRPr="0039495C">
        <w:rPr>
          <w:rFonts w:ascii="Times New Roman" w:eastAsia="Times New Roman" w:hAnsi="Times New Roman"/>
          <w:lang w:eastAsia="pl-PL"/>
        </w:rPr>
        <w:t>.</w:t>
      </w:r>
      <w:r w:rsidR="00670E65">
        <w:rPr>
          <w:rFonts w:ascii="Times New Roman" w:eastAsia="Times New Roman" w:hAnsi="Times New Roman"/>
          <w:lang w:eastAsia="pl-PL"/>
        </w:rPr>
        <w:t xml:space="preserve"> Natomiast</w:t>
      </w:r>
      <w:r>
        <w:rPr>
          <w:rFonts w:ascii="Times New Roman" w:eastAsia="Times New Roman" w:hAnsi="Times New Roman"/>
          <w:lang w:eastAsia="pl-PL"/>
        </w:rPr>
        <w:t xml:space="preserve"> art</w:t>
      </w:r>
      <w:r w:rsidR="007F6800">
        <w:rPr>
          <w:rFonts w:ascii="Times New Roman" w:eastAsia="Times New Roman" w:hAnsi="Times New Roman"/>
          <w:lang w:eastAsia="pl-PL"/>
        </w:rPr>
        <w:t>. 38</w:t>
      </w:r>
      <w:r>
        <w:rPr>
          <w:rFonts w:ascii="Times New Roman" w:eastAsia="Times New Roman" w:hAnsi="Times New Roman"/>
          <w:lang w:eastAsia="pl-PL"/>
        </w:rPr>
        <w:t xml:space="preserve"> reguluje kwestię stosowania przepisów art. 21 ust. 1, art. 24 ust. 2 oraz art. 31 przy sporządzaniu </w:t>
      </w:r>
      <w:r w:rsidR="00E36EC1">
        <w:rPr>
          <w:rFonts w:ascii="Times New Roman" w:eastAsia="Times New Roman" w:hAnsi="Times New Roman"/>
          <w:lang w:eastAsia="pl-PL"/>
        </w:rPr>
        <w:t>planów finansowych na rok</w:t>
      </w:r>
      <w:r>
        <w:rPr>
          <w:rFonts w:ascii="Times New Roman" w:eastAsia="Times New Roman" w:hAnsi="Times New Roman"/>
          <w:lang w:eastAsia="pl-PL"/>
        </w:rPr>
        <w:t xml:space="preserve"> 2024. W art. </w:t>
      </w:r>
      <w:r w:rsidR="007F6800">
        <w:rPr>
          <w:rFonts w:ascii="Times New Roman" w:eastAsia="Times New Roman" w:hAnsi="Times New Roman"/>
          <w:lang w:eastAsia="pl-PL"/>
        </w:rPr>
        <w:t>39 przewidziano natomiast rozwiązanie, które normuje kwestie dotyczące przygotowania projektu</w:t>
      </w:r>
      <w:r w:rsidR="00E36EC1">
        <w:rPr>
          <w:rFonts w:ascii="Times New Roman" w:eastAsia="Times New Roman" w:hAnsi="Times New Roman"/>
          <w:lang w:eastAsia="pl-PL"/>
        </w:rPr>
        <w:t xml:space="preserve"> ustawy budżetowej na rok</w:t>
      </w:r>
      <w:r w:rsidR="007F6800">
        <w:rPr>
          <w:rFonts w:ascii="Times New Roman" w:eastAsia="Times New Roman" w:hAnsi="Times New Roman"/>
          <w:lang w:eastAsia="pl-PL"/>
        </w:rPr>
        <w:t xml:space="preserve"> 2024</w:t>
      </w:r>
      <w:r w:rsidR="00670E65">
        <w:rPr>
          <w:rFonts w:ascii="Times New Roman" w:eastAsia="Times New Roman" w:hAnsi="Times New Roman"/>
          <w:lang w:eastAsia="pl-PL"/>
        </w:rPr>
        <w:t>.</w:t>
      </w:r>
    </w:p>
    <w:p w14:paraId="36D305A7" w14:textId="49B7FAE1" w:rsidR="00F16562" w:rsidRDefault="00F16562" w:rsidP="00026DDF">
      <w:pPr>
        <w:spacing w:line="276" w:lineRule="auto"/>
        <w:jc w:val="both"/>
        <w:rPr>
          <w:rFonts w:ascii="Times New Roman" w:eastAsia="Times New Roman" w:hAnsi="Times New Roman"/>
          <w:lang w:eastAsia="pl-PL"/>
        </w:rPr>
      </w:pPr>
    </w:p>
    <w:p w14:paraId="145A6260" w14:textId="5C47F967" w:rsidR="00F16562" w:rsidRDefault="00F16562" w:rsidP="00026DDF">
      <w:pPr>
        <w:spacing w:line="276" w:lineRule="auto"/>
        <w:jc w:val="both"/>
        <w:rPr>
          <w:rFonts w:ascii="Times New Roman" w:eastAsia="Times New Roman" w:hAnsi="Times New Roman"/>
          <w:lang w:eastAsia="pl-PL"/>
        </w:rPr>
      </w:pPr>
      <w:r>
        <w:rPr>
          <w:rFonts w:ascii="Times New Roman" w:eastAsia="Times New Roman" w:hAnsi="Times New Roman"/>
          <w:lang w:eastAsia="pl-PL"/>
        </w:rPr>
        <w:t>Art. 40</w:t>
      </w:r>
      <w:r w:rsidRPr="00F16562">
        <w:rPr>
          <w:rFonts w:ascii="Times New Roman" w:eastAsia="Times New Roman" w:hAnsi="Times New Roman"/>
          <w:lang w:eastAsia="pl-PL"/>
        </w:rPr>
        <w:t xml:space="preserve"> zawiera przepis przejściowy określający termin stosowania dotychczasowych przepisów regulujących kwestie umów o dotację.</w:t>
      </w:r>
    </w:p>
    <w:p w14:paraId="64BFB050" w14:textId="77777777" w:rsidR="00670E65" w:rsidRDefault="00670E65" w:rsidP="00026DDF">
      <w:pPr>
        <w:spacing w:line="276" w:lineRule="auto"/>
        <w:jc w:val="both"/>
        <w:rPr>
          <w:rFonts w:ascii="Times New Roman" w:eastAsia="Times New Roman" w:hAnsi="Times New Roman"/>
          <w:lang w:eastAsia="pl-PL"/>
        </w:rPr>
      </w:pPr>
    </w:p>
    <w:p w14:paraId="7C692765" w14:textId="072F1DF9" w:rsidR="004C4408" w:rsidRDefault="00F16562" w:rsidP="00670E65">
      <w:pPr>
        <w:spacing w:line="276" w:lineRule="auto"/>
        <w:jc w:val="both"/>
        <w:rPr>
          <w:rFonts w:ascii="Times New Roman" w:eastAsia="Times New Roman" w:hAnsi="Times New Roman"/>
          <w:lang w:eastAsia="pl-PL"/>
        </w:rPr>
      </w:pPr>
      <w:r>
        <w:rPr>
          <w:rFonts w:ascii="Times New Roman" w:eastAsia="Times New Roman" w:hAnsi="Times New Roman"/>
          <w:lang w:eastAsia="pl-PL"/>
        </w:rPr>
        <w:lastRenderedPageBreak/>
        <w:t>Art. 41</w:t>
      </w:r>
      <w:r w:rsidRPr="00F16562">
        <w:rPr>
          <w:rFonts w:ascii="Times New Roman" w:eastAsia="Times New Roman" w:hAnsi="Times New Roman"/>
          <w:lang w:eastAsia="pl-PL"/>
        </w:rPr>
        <w:t xml:space="preserve"> reguluje kwestie stosowania </w:t>
      </w:r>
      <w:r w:rsidR="00EE73A0">
        <w:rPr>
          <w:rFonts w:ascii="Times New Roman" w:eastAsia="Times New Roman" w:hAnsi="Times New Roman"/>
          <w:lang w:eastAsia="pl-PL"/>
        </w:rPr>
        <w:t xml:space="preserve">dotychczasowych przepisów ustawy </w:t>
      </w:r>
      <w:r>
        <w:rPr>
          <w:rFonts w:ascii="Times New Roman" w:eastAsia="Times New Roman" w:hAnsi="Times New Roman"/>
          <w:lang w:eastAsia="pl-PL"/>
        </w:rPr>
        <w:t xml:space="preserve">do spraw wszczętych </w:t>
      </w:r>
      <w:r w:rsidR="00EE73A0" w:rsidRPr="00EE73A0">
        <w:rPr>
          <w:rFonts w:ascii="Times New Roman" w:eastAsia="Times New Roman" w:hAnsi="Times New Roman"/>
          <w:lang w:eastAsia="pl-PL"/>
        </w:rPr>
        <w:t>w zakresie zwrotu dotacji oraz dochodów budżetowych</w:t>
      </w:r>
      <w:r w:rsidR="00EE73A0">
        <w:rPr>
          <w:rFonts w:ascii="Times New Roman" w:eastAsia="Times New Roman" w:hAnsi="Times New Roman"/>
          <w:lang w:eastAsia="pl-PL"/>
        </w:rPr>
        <w:t xml:space="preserve">, </w:t>
      </w:r>
      <w:r w:rsidR="00EE73A0" w:rsidRPr="00EE73A0">
        <w:rPr>
          <w:rFonts w:ascii="Times New Roman" w:eastAsia="Times New Roman" w:hAnsi="Times New Roman"/>
          <w:lang w:eastAsia="pl-PL"/>
        </w:rPr>
        <w:t xml:space="preserve">o których mowa odpowiednio w </w:t>
      </w:r>
      <w:r>
        <w:rPr>
          <w:rFonts w:ascii="Times New Roman" w:eastAsia="Times New Roman" w:hAnsi="Times New Roman"/>
          <w:lang w:eastAsia="pl-PL"/>
        </w:rPr>
        <w:t>art. 169</w:t>
      </w:r>
      <w:r w:rsidR="00670E65">
        <w:rPr>
          <w:rFonts w:ascii="Times New Roman" w:eastAsia="Times New Roman" w:hAnsi="Times New Roman"/>
          <w:lang w:eastAsia="pl-PL"/>
        </w:rPr>
        <w:t>, art. 252 oraz art. 255</w:t>
      </w:r>
      <w:r>
        <w:rPr>
          <w:rFonts w:ascii="Times New Roman" w:eastAsia="Times New Roman" w:hAnsi="Times New Roman"/>
          <w:lang w:eastAsia="pl-PL"/>
        </w:rPr>
        <w:t xml:space="preserve"> ustawy zmienianej i </w:t>
      </w:r>
      <w:r w:rsidRPr="00F16562">
        <w:rPr>
          <w:rFonts w:ascii="Times New Roman" w:eastAsia="Times New Roman" w:hAnsi="Times New Roman"/>
          <w:lang w:eastAsia="pl-PL"/>
        </w:rPr>
        <w:t>niezakończonych</w:t>
      </w:r>
      <w:r w:rsidR="00670E65">
        <w:rPr>
          <w:rFonts w:ascii="Times New Roman" w:eastAsia="Times New Roman" w:hAnsi="Times New Roman"/>
          <w:lang w:eastAsia="pl-PL"/>
        </w:rPr>
        <w:t>.</w:t>
      </w:r>
    </w:p>
    <w:p w14:paraId="6782B28B" w14:textId="77777777" w:rsidR="00670E65" w:rsidRPr="00670E65" w:rsidRDefault="00670E65" w:rsidP="00670E65">
      <w:pPr>
        <w:spacing w:line="276" w:lineRule="auto"/>
        <w:jc w:val="both"/>
        <w:rPr>
          <w:rFonts w:ascii="Times New Roman" w:eastAsia="Times New Roman" w:hAnsi="Times New Roman"/>
          <w:lang w:eastAsia="pl-PL"/>
        </w:rPr>
      </w:pPr>
    </w:p>
    <w:p w14:paraId="7F1A138A" w14:textId="69194D5E" w:rsidR="004C4408" w:rsidRPr="00C51AB0" w:rsidRDefault="004C4408" w:rsidP="00C90852">
      <w:pPr>
        <w:spacing w:after="200" w:line="276" w:lineRule="auto"/>
        <w:jc w:val="both"/>
        <w:rPr>
          <w:rFonts w:ascii="Times New Roman" w:eastAsia="Times New Roman" w:hAnsi="Times New Roman"/>
          <w:bCs/>
          <w:lang w:eastAsia="pl-PL"/>
        </w:rPr>
      </w:pPr>
      <w:r>
        <w:rPr>
          <w:rFonts w:ascii="Times New Roman" w:eastAsia="Times New Roman" w:hAnsi="Times New Roman"/>
          <w:bCs/>
          <w:lang w:eastAsia="pl-PL"/>
        </w:rPr>
        <w:t>W art. 43 przewidziano przepis przejściowy regulujący kwestię sporządzania planu działalności oraz sprawozdania z jego wykonania.</w:t>
      </w:r>
    </w:p>
    <w:p w14:paraId="49A774AE" w14:textId="0A0BCC12" w:rsidR="00D83FE7" w:rsidRDefault="009669FA" w:rsidP="00C90852">
      <w:pPr>
        <w:pStyle w:val="Tekstpodstawowy"/>
        <w:tabs>
          <w:tab w:val="clear" w:pos="540"/>
          <w:tab w:val="clear" w:pos="5400"/>
        </w:tabs>
        <w:spacing w:after="0" w:line="276" w:lineRule="auto"/>
        <w:rPr>
          <w:rFonts w:eastAsiaTheme="minorEastAsia"/>
        </w:rPr>
      </w:pPr>
      <w:r w:rsidRPr="00EC51E6">
        <w:rPr>
          <w:rFonts w:eastAsiaTheme="minorEastAsia"/>
        </w:rPr>
        <w:t xml:space="preserve">Art. </w:t>
      </w:r>
      <w:r w:rsidR="004C4408">
        <w:rPr>
          <w:rFonts w:eastAsiaTheme="minorEastAsia"/>
        </w:rPr>
        <w:t>44</w:t>
      </w:r>
      <w:r w:rsidR="00423AA4" w:rsidRPr="00EC51E6">
        <w:rPr>
          <w:rFonts w:eastAsiaTheme="minorEastAsia"/>
        </w:rPr>
        <w:t xml:space="preserve"> </w:t>
      </w:r>
      <w:r w:rsidR="006618A9" w:rsidRPr="00EC51E6">
        <w:rPr>
          <w:rFonts w:eastAsiaTheme="minorEastAsia"/>
        </w:rPr>
        <w:t>zawiera</w:t>
      </w:r>
      <w:r w:rsidR="006618A9" w:rsidRPr="006618A9">
        <w:rPr>
          <w:rFonts w:eastAsiaTheme="minorEastAsia"/>
        </w:rPr>
        <w:t xml:space="preserve"> przepis przejściowy odnoszący się do możliwości uzyskania kwalifikacji audytora wewnętrznego poprzez ukończenie studiów podyplomowych oraz odbycie dwuletniej praktyki w zakresie audytu wewnętrznego. Tryb ten będzie miał zastosowanie dla wszystkich osób, które do dnia 31 grudnia 2025 r. spełnią warunki wskazane w przepisach, tzn. do tego dnia uzyskają świadectwo ukończenia studiów podyplomowych w wymaganym zakresie oraz zakończą dwuletnią praktykę w zakresie audytu wewnętrznego, o której mowa w przepisach ustawy. Należy jednocześnie podkreślić, że uprawnienia do prowadzenia audytu wewnętrznego w jednostkach sektora finansów publicznych nabyte dotychczas w tym trybie pozostaną w mocy i nie będą weryfikowane poprzez konieczność zdawania egzaminu państwowego lub uzyskiwania certyfikatów wskazanych w ustawie.</w:t>
      </w:r>
    </w:p>
    <w:p w14:paraId="34ECBF31" w14:textId="77777777" w:rsidR="005074AD" w:rsidRDefault="005074AD" w:rsidP="00C90852">
      <w:pPr>
        <w:spacing w:line="276" w:lineRule="auto"/>
        <w:jc w:val="both"/>
        <w:rPr>
          <w:rFonts w:ascii="Times New Roman" w:eastAsia="Times New Roman" w:hAnsi="Times New Roman"/>
          <w:lang w:eastAsia="pl-PL"/>
        </w:rPr>
      </w:pPr>
    </w:p>
    <w:p w14:paraId="74829D41" w14:textId="09F843FE" w:rsidR="00FC373A" w:rsidRDefault="00FC373A" w:rsidP="00C90852">
      <w:pPr>
        <w:spacing w:line="276" w:lineRule="auto"/>
        <w:jc w:val="both"/>
        <w:rPr>
          <w:rFonts w:ascii="Times New Roman" w:eastAsia="Times New Roman" w:hAnsi="Times New Roman"/>
          <w:lang w:eastAsia="pl-PL"/>
        </w:rPr>
      </w:pPr>
      <w:r w:rsidRPr="00FC373A">
        <w:rPr>
          <w:rFonts w:ascii="Times New Roman" w:eastAsia="Times New Roman" w:hAnsi="Times New Roman"/>
          <w:lang w:eastAsia="pl-PL"/>
        </w:rPr>
        <w:t>W pro</w:t>
      </w:r>
      <w:r w:rsidR="006618A9">
        <w:rPr>
          <w:rFonts w:ascii="Times New Roman" w:eastAsia="Times New Roman" w:hAnsi="Times New Roman"/>
          <w:lang w:eastAsia="pl-PL"/>
        </w:rPr>
        <w:t xml:space="preserve">jektowanych art. </w:t>
      </w:r>
      <w:r w:rsidR="00423AA4">
        <w:rPr>
          <w:rFonts w:ascii="Times New Roman" w:eastAsia="Times New Roman" w:hAnsi="Times New Roman"/>
          <w:lang w:eastAsia="pl-PL"/>
        </w:rPr>
        <w:t>4</w:t>
      </w:r>
      <w:r w:rsidR="001977C2">
        <w:rPr>
          <w:rFonts w:ascii="Times New Roman" w:eastAsia="Times New Roman" w:hAnsi="Times New Roman"/>
          <w:lang w:eastAsia="pl-PL"/>
        </w:rPr>
        <w:t>5</w:t>
      </w:r>
      <w:r w:rsidR="00291913">
        <w:rPr>
          <w:rFonts w:ascii="Times New Roman" w:eastAsia="Times New Roman" w:hAnsi="Times New Roman"/>
          <w:lang w:eastAsia="pl-PL"/>
        </w:rPr>
        <w:t>–</w:t>
      </w:r>
      <w:r w:rsidR="00EE73A0">
        <w:rPr>
          <w:rFonts w:ascii="Times New Roman" w:eastAsia="Times New Roman" w:hAnsi="Times New Roman"/>
          <w:lang w:eastAsia="pl-PL"/>
        </w:rPr>
        <w:t>49, 51, 52 pkt 2 i 5</w:t>
      </w:r>
      <w:r w:rsidR="00423AA4" w:rsidRPr="00FC373A">
        <w:rPr>
          <w:rFonts w:ascii="Times New Roman" w:eastAsia="Times New Roman" w:hAnsi="Times New Roman"/>
          <w:lang w:eastAsia="pl-PL"/>
        </w:rPr>
        <w:t xml:space="preserve"> </w:t>
      </w:r>
      <w:r w:rsidR="00BF182A">
        <w:rPr>
          <w:rFonts w:ascii="Times New Roman" w:eastAsia="Times New Roman" w:hAnsi="Times New Roman"/>
          <w:lang w:eastAsia="pl-PL"/>
        </w:rPr>
        <w:t xml:space="preserve">oraz art. 53 </w:t>
      </w:r>
      <w:r w:rsidRPr="00FC373A">
        <w:rPr>
          <w:rFonts w:ascii="Times New Roman" w:eastAsia="Times New Roman" w:hAnsi="Times New Roman"/>
          <w:lang w:eastAsia="pl-PL"/>
        </w:rPr>
        <w:t>wpr</w:t>
      </w:r>
      <w:r w:rsidR="005C1559">
        <w:rPr>
          <w:rFonts w:ascii="Times New Roman" w:eastAsia="Times New Roman" w:hAnsi="Times New Roman"/>
          <w:lang w:eastAsia="pl-PL"/>
        </w:rPr>
        <w:t>owadzono przepisy przejściowe w </w:t>
      </w:r>
      <w:r w:rsidRPr="00FC373A">
        <w:rPr>
          <w:rFonts w:ascii="Times New Roman" w:eastAsia="Times New Roman" w:hAnsi="Times New Roman"/>
          <w:lang w:eastAsia="pl-PL"/>
        </w:rPr>
        <w:t>zakresie stosowania przepisów odnoszących się do kontroli zarządczej i audytu wewnętrznego oraz w zakresie wydania przepisów wykonawczych do niniejszej nowelizacji.</w:t>
      </w:r>
    </w:p>
    <w:p w14:paraId="0AB9FCC6" w14:textId="77777777" w:rsidR="004C4408" w:rsidRDefault="004C4408" w:rsidP="00C90852">
      <w:pPr>
        <w:spacing w:line="276" w:lineRule="auto"/>
        <w:jc w:val="both"/>
        <w:rPr>
          <w:rFonts w:ascii="Times New Roman" w:eastAsia="Times New Roman" w:hAnsi="Times New Roman"/>
          <w:lang w:eastAsia="pl-PL"/>
        </w:rPr>
      </w:pPr>
    </w:p>
    <w:p w14:paraId="539E08E8" w14:textId="6FE06FBE" w:rsidR="00BF182A" w:rsidRDefault="00BF182A" w:rsidP="00C90852">
      <w:pPr>
        <w:spacing w:line="276" w:lineRule="auto"/>
        <w:jc w:val="both"/>
        <w:rPr>
          <w:rFonts w:ascii="Times New Roman" w:eastAsia="Times New Roman" w:hAnsi="Times New Roman"/>
          <w:lang w:eastAsia="pl-PL"/>
        </w:rPr>
      </w:pPr>
      <w:r w:rsidRPr="00BF182A">
        <w:rPr>
          <w:rFonts w:ascii="Times New Roman" w:eastAsia="Times New Roman" w:hAnsi="Times New Roman"/>
          <w:lang w:eastAsia="pl-PL"/>
        </w:rPr>
        <w:t>Art. 5</w:t>
      </w:r>
      <w:r>
        <w:rPr>
          <w:rFonts w:ascii="Times New Roman" w:eastAsia="Times New Roman" w:hAnsi="Times New Roman"/>
          <w:lang w:eastAsia="pl-PL"/>
        </w:rPr>
        <w:t>0</w:t>
      </w:r>
      <w:r w:rsidRPr="00BF182A">
        <w:rPr>
          <w:rFonts w:ascii="Times New Roman" w:eastAsia="Times New Roman" w:hAnsi="Times New Roman"/>
          <w:lang w:eastAsia="pl-PL"/>
        </w:rPr>
        <w:t xml:space="preserve"> określa termin stosowania przepisów niniejszej ustawy do umów w zakresie prowadzenia obsługi bankowej rachunków budżetu środkó</w:t>
      </w:r>
      <w:r w:rsidR="005C1559">
        <w:rPr>
          <w:rFonts w:ascii="Times New Roman" w:eastAsia="Times New Roman" w:hAnsi="Times New Roman"/>
          <w:lang w:eastAsia="pl-PL"/>
        </w:rPr>
        <w:t>w europejskich, o której mowa w </w:t>
      </w:r>
      <w:r w:rsidRPr="00BF182A">
        <w:rPr>
          <w:rFonts w:ascii="Times New Roman" w:eastAsia="Times New Roman" w:hAnsi="Times New Roman"/>
          <w:lang w:eastAsia="pl-PL"/>
        </w:rPr>
        <w:t>art. 196 ust. 2 ustawy zmienianej w art. 1.</w:t>
      </w:r>
    </w:p>
    <w:p w14:paraId="04B94BCF" w14:textId="77777777" w:rsidR="00BF182A" w:rsidRDefault="00BF182A" w:rsidP="00C90852">
      <w:pPr>
        <w:spacing w:line="276" w:lineRule="auto"/>
        <w:jc w:val="both"/>
        <w:rPr>
          <w:rFonts w:ascii="Times New Roman" w:eastAsia="Times New Roman" w:hAnsi="Times New Roman"/>
          <w:lang w:eastAsia="pl-PL"/>
        </w:rPr>
      </w:pPr>
    </w:p>
    <w:p w14:paraId="6B4DAD31" w14:textId="36C81672" w:rsidR="00EC7A2E" w:rsidRDefault="004C4408" w:rsidP="00C90852">
      <w:pPr>
        <w:spacing w:line="276" w:lineRule="auto"/>
        <w:jc w:val="both"/>
        <w:rPr>
          <w:rFonts w:ascii="Times New Roman" w:eastAsia="Times New Roman" w:hAnsi="Times New Roman"/>
          <w:lang w:eastAsia="pl-PL"/>
        </w:rPr>
      </w:pPr>
      <w:r w:rsidRPr="004C4408">
        <w:rPr>
          <w:rFonts w:ascii="Times New Roman" w:eastAsia="Times New Roman" w:hAnsi="Times New Roman"/>
          <w:lang w:eastAsia="pl-PL"/>
        </w:rPr>
        <w:t xml:space="preserve">W art. </w:t>
      </w:r>
      <w:r>
        <w:rPr>
          <w:rFonts w:ascii="Times New Roman" w:eastAsia="Times New Roman" w:hAnsi="Times New Roman"/>
          <w:lang w:eastAsia="pl-PL"/>
        </w:rPr>
        <w:t>52</w:t>
      </w:r>
      <w:r w:rsidR="00EE73A0">
        <w:rPr>
          <w:rFonts w:ascii="Times New Roman" w:eastAsia="Times New Roman" w:hAnsi="Times New Roman"/>
          <w:lang w:eastAsia="pl-PL"/>
        </w:rPr>
        <w:t xml:space="preserve"> pkt 1, 3</w:t>
      </w:r>
      <w:r w:rsidR="00291913">
        <w:rPr>
          <w:rFonts w:ascii="Times New Roman" w:eastAsia="Times New Roman" w:hAnsi="Times New Roman"/>
          <w:lang w:eastAsia="pl-PL"/>
        </w:rPr>
        <w:t>–</w:t>
      </w:r>
      <w:r w:rsidR="00EE73A0">
        <w:rPr>
          <w:rFonts w:ascii="Times New Roman" w:eastAsia="Times New Roman" w:hAnsi="Times New Roman"/>
          <w:lang w:eastAsia="pl-PL"/>
        </w:rPr>
        <w:t>4</w:t>
      </w:r>
      <w:r w:rsidRPr="004C4408">
        <w:rPr>
          <w:rFonts w:ascii="Times New Roman" w:eastAsia="Times New Roman" w:hAnsi="Times New Roman"/>
          <w:lang w:eastAsia="pl-PL"/>
        </w:rPr>
        <w:t xml:space="preserve"> projektu ustawy przewidziano przepis</w:t>
      </w:r>
      <w:r w:rsidR="00DF3D66">
        <w:rPr>
          <w:rFonts w:ascii="Times New Roman" w:eastAsia="Times New Roman" w:hAnsi="Times New Roman"/>
          <w:lang w:eastAsia="pl-PL"/>
        </w:rPr>
        <w:t>y przejściowe</w:t>
      </w:r>
      <w:r w:rsidRPr="004C4408">
        <w:rPr>
          <w:rFonts w:ascii="Times New Roman" w:eastAsia="Times New Roman" w:hAnsi="Times New Roman"/>
          <w:lang w:eastAsia="pl-PL"/>
        </w:rPr>
        <w:t>, w związku uchyleniem art. 41 ust. 5 oraz dodaniem art. 73a ust. 2, które stanowią delegacje ustawowe do wydania przez Ministra Finansów rozporządzeń. Ponadto w związku ze zmianą art. 72 ust. 1 pkt 1 dotyczącą zmiany nazwy tytułu dłużnego konieczna będzie zmiana rozporządzenia wydawanego na podstawie art. 72 ust. 2. Zdecydowano o utrzymaniu w mocy obowiązujących aktów prawnych, nie dłużej jednak niż przez 24 miesiące od dnia wejścia w życie niniejszej ustawy.</w:t>
      </w:r>
      <w:r>
        <w:rPr>
          <w:rFonts w:ascii="Times New Roman" w:eastAsia="Times New Roman" w:hAnsi="Times New Roman"/>
          <w:lang w:eastAsia="pl-PL"/>
        </w:rPr>
        <w:t xml:space="preserve"> Ponadto</w:t>
      </w:r>
      <w:r w:rsidR="00BF182A">
        <w:rPr>
          <w:rFonts w:ascii="Times New Roman" w:eastAsia="Times New Roman" w:hAnsi="Times New Roman"/>
          <w:lang w:eastAsia="pl-PL"/>
        </w:rPr>
        <w:t xml:space="preserve"> </w:t>
      </w:r>
      <w:r w:rsidRPr="004C4408">
        <w:rPr>
          <w:rFonts w:ascii="Times New Roman" w:eastAsia="Times New Roman" w:hAnsi="Times New Roman"/>
          <w:lang w:eastAsia="pl-PL"/>
        </w:rPr>
        <w:t xml:space="preserve">w związku ze zmianą art. 73 ustawy o finansach publicznych dodano przepis przejściowy w zakresie obliczania wartości nominalnej </w:t>
      </w:r>
      <w:r w:rsidR="00EE73A0">
        <w:rPr>
          <w:rFonts w:ascii="Times New Roman" w:eastAsia="Times New Roman" w:hAnsi="Times New Roman"/>
          <w:lang w:eastAsia="pl-PL"/>
        </w:rPr>
        <w:t>zobowiązań z tytułu gwarancji i </w:t>
      </w:r>
      <w:r w:rsidRPr="004C4408">
        <w:rPr>
          <w:rFonts w:ascii="Times New Roman" w:eastAsia="Times New Roman" w:hAnsi="Times New Roman"/>
          <w:lang w:eastAsia="pl-PL"/>
        </w:rPr>
        <w:t>poręczeń.</w:t>
      </w:r>
    </w:p>
    <w:p w14:paraId="22D8CCC5" w14:textId="77777777" w:rsidR="00FC373A" w:rsidRDefault="00FC373A" w:rsidP="00C90852">
      <w:pPr>
        <w:spacing w:line="276" w:lineRule="auto"/>
        <w:jc w:val="both"/>
        <w:rPr>
          <w:rFonts w:ascii="Times New Roman" w:eastAsia="Times New Roman" w:hAnsi="Times New Roman"/>
          <w:lang w:eastAsia="pl-PL"/>
        </w:rPr>
      </w:pPr>
    </w:p>
    <w:p w14:paraId="2067CE68" w14:textId="497D6FC6" w:rsidR="00FC373A" w:rsidRDefault="006618A9" w:rsidP="00C90852">
      <w:pPr>
        <w:spacing w:line="276" w:lineRule="auto"/>
        <w:jc w:val="both"/>
        <w:rPr>
          <w:rFonts w:ascii="Times New Roman" w:eastAsia="Times New Roman" w:hAnsi="Times New Roman"/>
          <w:lang w:eastAsia="pl-PL"/>
        </w:rPr>
      </w:pPr>
      <w:r>
        <w:rPr>
          <w:rFonts w:ascii="Times New Roman" w:eastAsia="Times New Roman" w:hAnsi="Times New Roman"/>
          <w:lang w:eastAsia="pl-PL"/>
        </w:rPr>
        <w:t xml:space="preserve">W art. </w:t>
      </w:r>
      <w:r w:rsidR="00EC7A2E">
        <w:rPr>
          <w:rFonts w:ascii="Times New Roman" w:eastAsia="Times New Roman" w:hAnsi="Times New Roman"/>
          <w:lang w:eastAsia="pl-PL"/>
        </w:rPr>
        <w:t>5</w:t>
      </w:r>
      <w:r w:rsidR="00BF182A">
        <w:rPr>
          <w:rFonts w:ascii="Times New Roman" w:eastAsia="Times New Roman" w:hAnsi="Times New Roman"/>
          <w:lang w:eastAsia="pl-PL"/>
        </w:rPr>
        <w:t>4</w:t>
      </w:r>
      <w:r w:rsidR="00423AA4" w:rsidRPr="00FC373A">
        <w:rPr>
          <w:rFonts w:ascii="Times New Roman" w:eastAsia="Times New Roman" w:hAnsi="Times New Roman"/>
          <w:lang w:eastAsia="pl-PL"/>
        </w:rPr>
        <w:t xml:space="preserve"> </w:t>
      </w:r>
      <w:r w:rsidR="00FC373A" w:rsidRPr="00FC373A">
        <w:rPr>
          <w:rFonts w:ascii="Times New Roman" w:eastAsia="Times New Roman" w:hAnsi="Times New Roman"/>
          <w:lang w:eastAsia="pl-PL"/>
        </w:rPr>
        <w:t xml:space="preserve">projektu ustawy określono termin wejścia w </w:t>
      </w:r>
      <w:r w:rsidR="00F814E0">
        <w:rPr>
          <w:rFonts w:ascii="Times New Roman" w:eastAsia="Times New Roman" w:hAnsi="Times New Roman"/>
          <w:lang w:eastAsia="pl-PL"/>
        </w:rPr>
        <w:t>ż</w:t>
      </w:r>
      <w:r w:rsidR="00757F5C">
        <w:rPr>
          <w:rFonts w:ascii="Times New Roman" w:eastAsia="Times New Roman" w:hAnsi="Times New Roman"/>
          <w:lang w:eastAsia="pl-PL"/>
        </w:rPr>
        <w:t xml:space="preserve">ycie ustawy </w:t>
      </w:r>
      <w:r w:rsidR="007B0BA3">
        <w:rPr>
          <w:rFonts w:ascii="Times New Roman" w:eastAsia="Times New Roman" w:hAnsi="Times New Roman"/>
          <w:lang w:eastAsia="pl-PL"/>
        </w:rPr>
        <w:t xml:space="preserve">na </w:t>
      </w:r>
      <w:r w:rsidR="00F814E0">
        <w:rPr>
          <w:rFonts w:ascii="Times New Roman" w:eastAsia="Times New Roman" w:hAnsi="Times New Roman"/>
          <w:lang w:eastAsia="pl-PL"/>
        </w:rPr>
        <w:t>1 stycznia 202</w:t>
      </w:r>
      <w:r w:rsidR="00757F5C">
        <w:rPr>
          <w:rFonts w:ascii="Times New Roman" w:eastAsia="Times New Roman" w:hAnsi="Times New Roman"/>
          <w:lang w:eastAsia="pl-PL"/>
        </w:rPr>
        <w:t>3</w:t>
      </w:r>
      <w:r w:rsidR="00FC373A" w:rsidRPr="00FC373A">
        <w:rPr>
          <w:rFonts w:ascii="Times New Roman" w:eastAsia="Times New Roman" w:hAnsi="Times New Roman"/>
          <w:lang w:eastAsia="pl-PL"/>
        </w:rPr>
        <w:t xml:space="preserve"> r. </w:t>
      </w:r>
    </w:p>
    <w:p w14:paraId="1B042E74" w14:textId="77777777" w:rsidR="00FC373A" w:rsidRPr="008E5FB3" w:rsidRDefault="00FC373A" w:rsidP="00C90852">
      <w:pPr>
        <w:spacing w:line="276" w:lineRule="auto"/>
        <w:jc w:val="both"/>
        <w:rPr>
          <w:rFonts w:ascii="Times New Roman" w:eastAsia="Times New Roman" w:hAnsi="Times New Roman"/>
          <w:lang w:eastAsia="pl-PL"/>
        </w:rPr>
      </w:pPr>
    </w:p>
    <w:p w14:paraId="1A36C989" w14:textId="77777777" w:rsidR="001A0ABF" w:rsidRPr="008E5FB3" w:rsidRDefault="001A0ABF" w:rsidP="00C90852">
      <w:pPr>
        <w:spacing w:line="276" w:lineRule="auto"/>
        <w:jc w:val="both"/>
        <w:rPr>
          <w:rFonts w:ascii="Times New Roman" w:eastAsia="Times New Roman" w:hAnsi="Times New Roman"/>
          <w:bCs/>
          <w:lang w:eastAsia="pl-PL"/>
        </w:rPr>
      </w:pPr>
      <w:r w:rsidRPr="008E5FB3">
        <w:rPr>
          <w:rFonts w:ascii="Times New Roman" w:eastAsia="Times New Roman" w:hAnsi="Times New Roman"/>
          <w:bCs/>
          <w:lang w:eastAsia="pl-PL"/>
        </w:rPr>
        <w:t xml:space="preserve">Zawarte w projekcie ustawy regulacje nie będą miały wpływu na działalność </w:t>
      </w:r>
      <w:proofErr w:type="spellStart"/>
      <w:r w:rsidRPr="008E5FB3">
        <w:rPr>
          <w:rFonts w:ascii="Times New Roman" w:eastAsia="Times New Roman" w:hAnsi="Times New Roman"/>
          <w:bCs/>
          <w:lang w:eastAsia="pl-PL"/>
        </w:rPr>
        <w:t>mikroprzedsiębiorców</w:t>
      </w:r>
      <w:proofErr w:type="spellEnd"/>
      <w:r w:rsidRPr="008E5FB3">
        <w:rPr>
          <w:rFonts w:ascii="Times New Roman" w:eastAsia="Times New Roman" w:hAnsi="Times New Roman"/>
          <w:bCs/>
          <w:lang w:eastAsia="pl-PL"/>
        </w:rPr>
        <w:t xml:space="preserve">, małych i średnich przedsiębiorców. </w:t>
      </w:r>
    </w:p>
    <w:p w14:paraId="42DE3980" w14:textId="0E6DE014" w:rsidR="001A0ABF" w:rsidRPr="008E5FB3" w:rsidRDefault="001A0ABF" w:rsidP="00C90852">
      <w:pPr>
        <w:suppressAutoHyphens/>
        <w:autoSpaceDE w:val="0"/>
        <w:autoSpaceDN w:val="0"/>
        <w:adjustRightInd w:val="0"/>
        <w:spacing w:before="120" w:line="276" w:lineRule="auto"/>
        <w:jc w:val="both"/>
        <w:rPr>
          <w:rFonts w:ascii="Times New Roman" w:eastAsia="Times New Roman" w:hAnsi="Times New Roman"/>
          <w:bCs/>
          <w:lang w:eastAsia="pl-PL"/>
        </w:rPr>
      </w:pPr>
      <w:r w:rsidRPr="008E5FB3">
        <w:rPr>
          <w:rFonts w:ascii="Times New Roman" w:eastAsia="Times New Roman" w:hAnsi="Times New Roman"/>
          <w:bCs/>
          <w:lang w:eastAsia="pl-PL"/>
        </w:rPr>
        <w:t xml:space="preserve">Projekt ustawy nie wymaga przedstawienia właściwym instytucjom i organom Unii Europejskiej, w tym Europejskiemu Bankowi Centralnemu, w celu uzyskania opinii, dokonania </w:t>
      </w:r>
      <w:r w:rsidR="00FD721F">
        <w:rPr>
          <w:rFonts w:ascii="Times New Roman" w:eastAsia="Times New Roman" w:hAnsi="Times New Roman"/>
          <w:bCs/>
          <w:lang w:eastAsia="pl-PL"/>
        </w:rPr>
        <w:t xml:space="preserve">powiadomienia, </w:t>
      </w:r>
      <w:r w:rsidRPr="008E5FB3">
        <w:rPr>
          <w:rFonts w:ascii="Times New Roman" w:eastAsia="Times New Roman" w:hAnsi="Times New Roman"/>
          <w:bCs/>
          <w:lang w:eastAsia="pl-PL"/>
        </w:rPr>
        <w:t>konsultacji albo uzgodnienia.</w:t>
      </w:r>
    </w:p>
    <w:p w14:paraId="6250CE32" w14:textId="77777777" w:rsidR="001A0ABF" w:rsidRDefault="001A0ABF" w:rsidP="00C90852">
      <w:pPr>
        <w:suppressAutoHyphens/>
        <w:autoSpaceDE w:val="0"/>
        <w:autoSpaceDN w:val="0"/>
        <w:adjustRightInd w:val="0"/>
        <w:spacing w:before="120" w:line="276" w:lineRule="auto"/>
        <w:jc w:val="both"/>
        <w:rPr>
          <w:rFonts w:ascii="Times New Roman" w:eastAsia="Times New Roman" w:hAnsi="Times New Roman"/>
          <w:lang w:eastAsia="pl-PL"/>
        </w:rPr>
      </w:pPr>
      <w:r w:rsidRPr="008E5FB3">
        <w:rPr>
          <w:rFonts w:ascii="Times New Roman" w:eastAsia="Times New Roman" w:hAnsi="Times New Roman"/>
          <w:lang w:eastAsia="pl-PL"/>
        </w:rPr>
        <w:lastRenderedPageBreak/>
        <w:t>Projekt ustawy jest zgodny z prawem Unii Europejskiej.</w:t>
      </w:r>
    </w:p>
    <w:p w14:paraId="7AC17BC9" w14:textId="6BB6BDA9" w:rsidR="003467AB" w:rsidRPr="008E5FB3" w:rsidRDefault="003467AB" w:rsidP="00C90852">
      <w:pPr>
        <w:suppressAutoHyphens/>
        <w:autoSpaceDE w:val="0"/>
        <w:autoSpaceDN w:val="0"/>
        <w:adjustRightInd w:val="0"/>
        <w:spacing w:before="120" w:line="276" w:lineRule="auto"/>
        <w:jc w:val="both"/>
        <w:rPr>
          <w:rFonts w:ascii="Times New Roman" w:eastAsia="Times New Roman" w:hAnsi="Times New Roman"/>
          <w:lang w:eastAsia="pl-PL"/>
        </w:rPr>
      </w:pPr>
      <w:r w:rsidRPr="001A0ABF">
        <w:rPr>
          <w:rFonts w:ascii="Times New Roman" w:eastAsia="Times New Roman" w:hAnsi="Times New Roman"/>
          <w:lang w:eastAsia="pl-PL"/>
        </w:rPr>
        <w:t>Brak jest możliwości podjęcia alternatywnych środków osiągnięcia celu projektowanej regulacji w stosunku do działań legislacyjnych.</w:t>
      </w:r>
    </w:p>
    <w:p w14:paraId="05CE8296" w14:textId="77777777" w:rsidR="001A0ABF" w:rsidRPr="008E5FB3" w:rsidRDefault="001A0ABF" w:rsidP="00C90852">
      <w:pPr>
        <w:suppressAutoHyphens/>
        <w:autoSpaceDE w:val="0"/>
        <w:autoSpaceDN w:val="0"/>
        <w:adjustRightInd w:val="0"/>
        <w:spacing w:before="120" w:after="120" w:line="276" w:lineRule="auto"/>
        <w:jc w:val="both"/>
        <w:rPr>
          <w:rFonts w:ascii="Times New Roman" w:eastAsia="Times New Roman" w:hAnsi="Times New Roman"/>
          <w:lang w:eastAsia="pl-PL"/>
        </w:rPr>
      </w:pPr>
      <w:r w:rsidRPr="008E5FB3">
        <w:rPr>
          <w:rFonts w:ascii="Times New Roman" w:eastAsia="Times New Roman" w:hAnsi="Times New Roman"/>
          <w:lang w:eastAsia="pl-PL"/>
        </w:rPr>
        <w:t xml:space="preserve">Projektowana regulacja nie zawiera przepisów technicznych w rozumieniu </w:t>
      </w:r>
      <w:r w:rsidRPr="008E5FB3">
        <w:rPr>
          <w:rFonts w:ascii="Times New Roman" w:eastAsia="Times New Roman" w:hAnsi="Times New Roman"/>
          <w:i/>
          <w:lang w:eastAsia="pl-PL"/>
        </w:rPr>
        <w:t>rozporządzenia Rady Ministrów z dnia 23 grudnia 2002 r. w sprawie sposobu funkcjonowania krajowego systemu notyfikacji norm i aktów prawnych</w:t>
      </w:r>
      <w:r w:rsidRPr="008E5FB3">
        <w:rPr>
          <w:rFonts w:ascii="Times New Roman" w:eastAsia="Times New Roman" w:hAnsi="Times New Roman"/>
          <w:lang w:eastAsia="pl-PL"/>
        </w:rPr>
        <w:t xml:space="preserve"> (Dz. U. poz. 2039 oraz z 2004 r. poz. 597) i nie podlega notyfikacji Komisji Europejskiej.</w:t>
      </w:r>
    </w:p>
    <w:p w14:paraId="322A2DC0" w14:textId="722843B0" w:rsidR="00041145" w:rsidRPr="008E5FB3" w:rsidRDefault="001A0ABF" w:rsidP="00C90852">
      <w:pPr>
        <w:autoSpaceDE w:val="0"/>
        <w:autoSpaceDN w:val="0"/>
        <w:adjustRightInd w:val="0"/>
        <w:spacing w:line="276" w:lineRule="auto"/>
        <w:jc w:val="both"/>
        <w:rPr>
          <w:rFonts w:ascii="Times New Roman" w:hAnsi="Times New Roman"/>
        </w:rPr>
      </w:pPr>
      <w:r w:rsidRPr="008E5FB3">
        <w:rPr>
          <w:rFonts w:ascii="Times New Roman" w:eastAsia="Times New Roman" w:hAnsi="Times New Roman"/>
          <w:lang w:eastAsia="pl-PL"/>
        </w:rPr>
        <w:t xml:space="preserve">Stosownie do postanowień art. 5 </w:t>
      </w:r>
      <w:r w:rsidRPr="008E5FB3">
        <w:rPr>
          <w:rFonts w:ascii="Times New Roman" w:eastAsia="Times New Roman" w:hAnsi="Times New Roman"/>
          <w:i/>
          <w:lang w:eastAsia="pl-PL"/>
        </w:rPr>
        <w:t xml:space="preserve">ustawy z dnia 7 lipca 2005 r. o działalności lobbingowej w procesie stanowienia prawa </w:t>
      </w:r>
      <w:r w:rsidRPr="008E5FB3">
        <w:rPr>
          <w:rFonts w:ascii="Times New Roman" w:eastAsia="Times New Roman" w:hAnsi="Times New Roman"/>
          <w:lang w:eastAsia="pl-PL"/>
        </w:rPr>
        <w:t>(Dz. U. z 2017 r. poz. 248)</w:t>
      </w:r>
      <w:r w:rsidR="00191D9F" w:rsidRPr="008E5FB3">
        <w:rPr>
          <w:rFonts w:ascii="Times New Roman" w:hAnsi="Times New Roman"/>
        </w:rPr>
        <w:t xml:space="preserve"> </w:t>
      </w:r>
      <w:r w:rsidR="00191D9F" w:rsidRPr="008E5FB3">
        <w:rPr>
          <w:rFonts w:ascii="Times New Roman" w:eastAsia="Times New Roman" w:hAnsi="Times New Roman"/>
          <w:lang w:eastAsia="pl-PL"/>
        </w:rPr>
        <w:t xml:space="preserve">oraz § 4 i § 52 uchwały nr 190 Rady Ministrów z dnia 29 października 2013 r. – </w:t>
      </w:r>
      <w:r w:rsidR="00191D9F" w:rsidRPr="00291913">
        <w:rPr>
          <w:rFonts w:ascii="Times New Roman" w:eastAsia="Times New Roman" w:hAnsi="Times New Roman"/>
          <w:i/>
          <w:lang w:eastAsia="pl-PL"/>
        </w:rPr>
        <w:t>Regulamin pracy Rady Ministrów</w:t>
      </w:r>
      <w:r w:rsidR="00191D9F" w:rsidRPr="008E5FB3">
        <w:rPr>
          <w:rFonts w:ascii="Times New Roman" w:eastAsia="Times New Roman" w:hAnsi="Times New Roman"/>
          <w:lang w:eastAsia="pl-PL"/>
        </w:rPr>
        <w:t xml:space="preserve"> (M. P. z 20</w:t>
      </w:r>
      <w:r w:rsidR="00C26A7B">
        <w:rPr>
          <w:rFonts w:ascii="Times New Roman" w:eastAsia="Times New Roman" w:hAnsi="Times New Roman"/>
          <w:lang w:eastAsia="pl-PL"/>
        </w:rPr>
        <w:t>22</w:t>
      </w:r>
      <w:r w:rsidR="00191D9F" w:rsidRPr="008E5FB3">
        <w:rPr>
          <w:rFonts w:ascii="Times New Roman" w:eastAsia="Times New Roman" w:hAnsi="Times New Roman"/>
          <w:lang w:eastAsia="pl-PL"/>
        </w:rPr>
        <w:t xml:space="preserve"> r. poz. </w:t>
      </w:r>
      <w:r w:rsidR="00C26A7B">
        <w:rPr>
          <w:rFonts w:ascii="Times New Roman" w:eastAsia="Times New Roman" w:hAnsi="Times New Roman"/>
          <w:lang w:eastAsia="pl-PL"/>
        </w:rPr>
        <w:t>348</w:t>
      </w:r>
      <w:r w:rsidR="00191D9F" w:rsidRPr="008E5FB3">
        <w:rPr>
          <w:rFonts w:ascii="Times New Roman" w:eastAsia="Times New Roman" w:hAnsi="Times New Roman"/>
          <w:lang w:eastAsia="pl-PL"/>
        </w:rPr>
        <w:t>)</w:t>
      </w:r>
      <w:r w:rsidRPr="008E5FB3">
        <w:rPr>
          <w:rFonts w:ascii="Times New Roman" w:eastAsia="Times New Roman" w:hAnsi="Times New Roman"/>
          <w:lang w:eastAsia="pl-PL"/>
        </w:rPr>
        <w:t xml:space="preserve"> projekt ustawy został udostępniony w Biuletynie Informacji Publicznej na stronie podmiotowej Rządowego Centrum Legislacji w serwisie Rządowy Proces Legislacyjny.</w:t>
      </w:r>
    </w:p>
    <w:p w14:paraId="6443C2E6" w14:textId="77777777" w:rsidR="008F2180" w:rsidRPr="00F349B9" w:rsidRDefault="008F2180" w:rsidP="00C90852">
      <w:pPr>
        <w:autoSpaceDE w:val="0"/>
        <w:autoSpaceDN w:val="0"/>
        <w:adjustRightInd w:val="0"/>
        <w:spacing w:line="276" w:lineRule="auto"/>
        <w:jc w:val="both"/>
        <w:rPr>
          <w:rFonts w:ascii="Times New Roman" w:eastAsiaTheme="minorEastAsia" w:hAnsi="Times New Roman"/>
          <w:lang w:eastAsia="pl-PL"/>
        </w:rPr>
      </w:pPr>
    </w:p>
    <w:sectPr w:rsidR="008F2180" w:rsidRPr="00F349B9" w:rsidSect="008B3F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5F82" w14:textId="77777777" w:rsidR="006C3A23" w:rsidRDefault="006C3A23" w:rsidP="00B96BBE">
      <w:r>
        <w:separator/>
      </w:r>
    </w:p>
  </w:endnote>
  <w:endnote w:type="continuationSeparator" w:id="0">
    <w:p w14:paraId="2DDDCFA4" w14:textId="77777777" w:rsidR="006C3A23" w:rsidRDefault="006C3A23" w:rsidP="00B9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66387"/>
      <w:docPartObj>
        <w:docPartGallery w:val="Page Numbers (Bottom of Page)"/>
        <w:docPartUnique/>
      </w:docPartObj>
    </w:sdtPr>
    <w:sdtEndPr/>
    <w:sdtContent>
      <w:p w14:paraId="2C18EC65" w14:textId="77777777" w:rsidR="00D97C25" w:rsidRDefault="00D97C25">
        <w:pPr>
          <w:pStyle w:val="Stopka"/>
          <w:jc w:val="right"/>
        </w:pPr>
        <w:r>
          <w:ptab w:relativeTo="margin" w:alignment="center" w:leader="none"/>
        </w:r>
        <w:r>
          <w:fldChar w:fldCharType="begin"/>
        </w:r>
        <w:r>
          <w:instrText>PAGE   \* MERGEFORMAT</w:instrText>
        </w:r>
        <w:r>
          <w:fldChar w:fldCharType="separate"/>
        </w:r>
        <w:r w:rsidR="00465A2D">
          <w:rPr>
            <w:noProof/>
          </w:rPr>
          <w:t>10</w:t>
        </w:r>
        <w:r>
          <w:fldChar w:fldCharType="end"/>
        </w:r>
      </w:p>
    </w:sdtContent>
  </w:sdt>
  <w:p w14:paraId="533196A9" w14:textId="77777777" w:rsidR="00D97C25" w:rsidRDefault="00D97C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284B" w14:textId="77777777" w:rsidR="006C3A23" w:rsidRDefault="006C3A23" w:rsidP="00B96BBE">
      <w:r>
        <w:separator/>
      </w:r>
    </w:p>
  </w:footnote>
  <w:footnote w:type="continuationSeparator" w:id="0">
    <w:p w14:paraId="51DBF867" w14:textId="77777777" w:rsidR="006C3A23" w:rsidRDefault="006C3A23" w:rsidP="00B96BBE">
      <w:r>
        <w:continuationSeparator/>
      </w:r>
    </w:p>
  </w:footnote>
  <w:footnote w:id="1">
    <w:p w14:paraId="2330CF93" w14:textId="53BBDC37"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Dz. U. z 202</w:t>
      </w:r>
      <w:r>
        <w:rPr>
          <w:rFonts w:ascii="Times New Roman" w:hAnsi="Times New Roman"/>
        </w:rPr>
        <w:t>1</w:t>
      </w:r>
      <w:r w:rsidRPr="005C18B8">
        <w:rPr>
          <w:rFonts w:ascii="Times New Roman" w:hAnsi="Times New Roman"/>
        </w:rPr>
        <w:t xml:space="preserve"> r. poz. 1</w:t>
      </w:r>
      <w:r>
        <w:rPr>
          <w:rFonts w:ascii="Times New Roman" w:hAnsi="Times New Roman"/>
        </w:rPr>
        <w:t>893</w:t>
      </w:r>
      <w:r w:rsidRPr="005C18B8">
        <w:rPr>
          <w:rFonts w:ascii="Times New Roman" w:hAnsi="Times New Roman"/>
        </w:rPr>
        <w:t>, z późn. zm.</w:t>
      </w:r>
    </w:p>
  </w:footnote>
  <w:footnote w:id="2">
    <w:p w14:paraId="22981238" w14:textId="77777777"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Dz. U. </w:t>
      </w:r>
      <w:r>
        <w:rPr>
          <w:rFonts w:ascii="Times New Roman" w:hAnsi="Times New Roman"/>
        </w:rPr>
        <w:t xml:space="preserve">z 2021 r. poz. 178, z </w:t>
      </w:r>
      <w:r>
        <w:rPr>
          <w:rFonts w:ascii="Times New Roman" w:hAnsi="Times New Roman"/>
        </w:rPr>
        <w:t>późn. zm.</w:t>
      </w:r>
    </w:p>
  </w:footnote>
  <w:footnote w:id="3">
    <w:p w14:paraId="3EFFC3B0" w14:textId="77777777"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w:t>
      </w:r>
      <w:r w:rsidRPr="00BD5A66">
        <w:rPr>
          <w:rFonts w:ascii="Times New Roman" w:hAnsi="Times New Roman"/>
          <w:bCs/>
        </w:rPr>
        <w:t>Informacja o wynikach kontroli</w:t>
      </w:r>
      <w:r w:rsidRPr="00BD5A66">
        <w:rPr>
          <w:rFonts w:ascii="Times New Roman" w:hAnsi="Times New Roman"/>
        </w:rPr>
        <w:t xml:space="preserve"> </w:t>
      </w:r>
      <w:r w:rsidRPr="00BD5A66">
        <w:rPr>
          <w:rFonts w:ascii="Times New Roman" w:hAnsi="Times New Roman"/>
          <w:i/>
        </w:rPr>
        <w:t>Planowanie i realizacja zadaniowego układu wydatków w kontekście reformy systemu budżetowego</w:t>
      </w:r>
      <w:r>
        <w:rPr>
          <w:rFonts w:ascii="Times New Roman" w:hAnsi="Times New Roman"/>
        </w:rPr>
        <w:t xml:space="preserve">, znak: </w:t>
      </w:r>
      <w:r w:rsidRPr="00BD5A66">
        <w:rPr>
          <w:rFonts w:ascii="Times New Roman" w:hAnsi="Times New Roman"/>
        </w:rPr>
        <w:t>KBF.430.015.2020</w:t>
      </w:r>
      <w:r>
        <w:rPr>
          <w:rFonts w:ascii="Times New Roman" w:hAnsi="Times New Roman"/>
        </w:rPr>
        <w:t>, n</w:t>
      </w:r>
      <w:r w:rsidRPr="00BD5A66">
        <w:rPr>
          <w:rFonts w:ascii="Times New Roman" w:hAnsi="Times New Roman"/>
        </w:rPr>
        <w:t>r</w:t>
      </w:r>
      <w:r w:rsidRPr="005C18B8">
        <w:rPr>
          <w:rFonts w:ascii="Times New Roman" w:hAnsi="Times New Roman"/>
        </w:rPr>
        <w:t xml:space="preserve"> </w:t>
      </w:r>
      <w:r w:rsidRPr="005C18B8">
        <w:rPr>
          <w:rFonts w:ascii="Times New Roman" w:hAnsi="Times New Roman"/>
        </w:rPr>
        <w:t>ewid. 161/2020/P/19/008/KB.</w:t>
      </w:r>
    </w:p>
  </w:footnote>
  <w:footnote w:id="4">
    <w:p w14:paraId="75030C81" w14:textId="77777777"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Dz.</w:t>
      </w:r>
      <w:r>
        <w:rPr>
          <w:rFonts w:ascii="Times New Roman" w:hAnsi="Times New Roman"/>
        </w:rPr>
        <w:t xml:space="preserve"> </w:t>
      </w:r>
      <w:r w:rsidRPr="005C18B8">
        <w:rPr>
          <w:rFonts w:ascii="Times New Roman" w:hAnsi="Times New Roman"/>
        </w:rPr>
        <w:t>U.</w:t>
      </w:r>
      <w:r>
        <w:rPr>
          <w:rFonts w:ascii="Times New Roman" w:hAnsi="Times New Roman"/>
        </w:rPr>
        <w:t xml:space="preserve"> z 2010 r. </w:t>
      </w:r>
      <w:r w:rsidRPr="005C18B8">
        <w:rPr>
          <w:rFonts w:ascii="Times New Roman" w:hAnsi="Times New Roman"/>
        </w:rPr>
        <w:t xml:space="preserve"> poz. 1581.</w:t>
      </w:r>
    </w:p>
  </w:footnote>
  <w:footnote w:id="5">
    <w:p w14:paraId="45B67521" w14:textId="77777777" w:rsidR="00D97C25" w:rsidRPr="00FE3F5A" w:rsidRDefault="00D97C25" w:rsidP="00EA5A8C">
      <w:pPr>
        <w:pStyle w:val="Tekstprzypisudolnego"/>
        <w:jc w:val="both"/>
        <w:rPr>
          <w:rFonts w:asciiTheme="majorBidi" w:hAnsiTheme="majorBidi" w:cstheme="majorBidi"/>
        </w:rPr>
      </w:pPr>
      <w:r w:rsidRPr="00FE3F5A">
        <w:rPr>
          <w:rStyle w:val="Odwoanieprzypisudolnego"/>
          <w:rFonts w:asciiTheme="majorBidi" w:hAnsiTheme="majorBidi" w:cstheme="majorBidi"/>
        </w:rPr>
        <w:footnoteRef/>
      </w:r>
      <w:r w:rsidRPr="00FE3F5A">
        <w:rPr>
          <w:rFonts w:asciiTheme="majorBidi" w:hAnsiTheme="majorBidi" w:cstheme="majorBidi"/>
        </w:rPr>
        <w:t xml:space="preserve"> </w:t>
      </w:r>
      <w:hyperlink r:id="rId1" w:history="1">
        <w:r w:rsidRPr="00FE3F5A">
          <w:rPr>
            <w:rStyle w:val="Hipercze"/>
            <w:rFonts w:asciiTheme="majorBidi" w:hAnsiTheme="majorBidi" w:cstheme="majorBidi"/>
          </w:rPr>
          <w:t>https://mf-arch2.mf.gov.pl/web/bip/ministerstwo-finansow/dzialalnosc/finanse-publiczne/reforma-systemu-budzetowego/-/asset_publisher/48Yh/content/zalozenia-reformy-systemu-budzetowego?redirect=https%3A%2F%2Fmf-arch2.mf.gov.pl%2Fweb%2Fbip%2Fministerstwo-finansow%2Fdzialalnosc%2Ffinanse-publiczne%2Freforma-systemu-budzetowego%3Fp_p_id%3D101_INSTANCE_48Yh%26p_p_lifecycle%3D0%26p_p_state%3Dnormal%26p_p_mode%3Dview%26p_p_col_id%3Dcolumn-2%26p_p_col_count%3D1</w:t>
        </w:r>
      </w:hyperlink>
      <w:r w:rsidRPr="00FE3F5A">
        <w:rPr>
          <w:rFonts w:asciiTheme="majorBidi" w:hAnsiTheme="majorBidi" w:cstheme="majorBidi"/>
        </w:rPr>
        <w:t xml:space="preserve"> </w:t>
      </w:r>
    </w:p>
  </w:footnote>
  <w:footnote w:id="6">
    <w:p w14:paraId="03B858D2" w14:textId="77777777" w:rsidR="00D97C25" w:rsidRPr="00FE3F5A" w:rsidRDefault="00D97C25" w:rsidP="00EA5A8C">
      <w:pPr>
        <w:pStyle w:val="Tekstprzypisudolnego"/>
        <w:jc w:val="both"/>
        <w:rPr>
          <w:rFonts w:asciiTheme="majorBidi" w:hAnsiTheme="majorBidi" w:cstheme="majorBidi"/>
        </w:rPr>
      </w:pPr>
      <w:r w:rsidRPr="00FE3F5A">
        <w:rPr>
          <w:rStyle w:val="Odwoanieprzypisudolnego"/>
          <w:rFonts w:asciiTheme="majorBidi" w:hAnsiTheme="majorBidi" w:cstheme="majorBidi"/>
        </w:rPr>
        <w:footnoteRef/>
      </w:r>
      <w:r w:rsidRPr="00FE3F5A">
        <w:rPr>
          <w:rFonts w:asciiTheme="majorBidi" w:hAnsiTheme="majorBidi" w:cstheme="majorBidi"/>
        </w:rPr>
        <w:t xml:space="preserve"> NIK, Wystąpienie pokontrolne P/19/008 – </w:t>
      </w:r>
      <w:r w:rsidRPr="00FE3F5A">
        <w:rPr>
          <w:rFonts w:asciiTheme="majorBidi" w:hAnsiTheme="majorBidi" w:cstheme="majorBidi"/>
          <w:i/>
        </w:rPr>
        <w:t>Planowanie i realizacja zadaniowego układu wydatków w kontekście reformy systemu budżetowego</w:t>
      </w:r>
      <w:r w:rsidRPr="00FE3F5A">
        <w:rPr>
          <w:rFonts w:asciiTheme="majorBidi" w:hAnsiTheme="majorBidi" w:cstheme="majorBidi"/>
        </w:rPr>
        <w:t>, s. 60.</w:t>
      </w:r>
    </w:p>
  </w:footnote>
  <w:footnote w:id="7">
    <w:p w14:paraId="349B8113" w14:textId="77777777" w:rsidR="00D97C25" w:rsidRPr="00FE3F5A" w:rsidRDefault="00D97C25" w:rsidP="00380314">
      <w:pPr>
        <w:pStyle w:val="Tekstprzypisudolnego"/>
        <w:jc w:val="both"/>
        <w:rPr>
          <w:rFonts w:asciiTheme="majorBidi" w:hAnsiTheme="majorBidi" w:cstheme="majorBidi"/>
        </w:rPr>
      </w:pPr>
      <w:r w:rsidRPr="00FE3F5A">
        <w:rPr>
          <w:rStyle w:val="Odwoanieprzypisudolnego"/>
          <w:rFonts w:asciiTheme="majorBidi" w:hAnsiTheme="majorBidi" w:cstheme="majorBidi"/>
        </w:rPr>
        <w:footnoteRef/>
      </w:r>
      <w:r w:rsidRPr="00FE3F5A">
        <w:rPr>
          <w:rFonts w:asciiTheme="majorBidi" w:hAnsiTheme="majorBidi" w:cstheme="majorBidi"/>
        </w:rPr>
        <w:t xml:space="preserve"> Dz. Urz. Min. Fin. z 2015 r. nr 31, z </w:t>
      </w:r>
      <w:r w:rsidRPr="00FE3F5A">
        <w:rPr>
          <w:rFonts w:asciiTheme="majorBidi" w:hAnsiTheme="majorBidi" w:cstheme="majorBidi"/>
        </w:rPr>
        <w:t>późn. zm.</w:t>
      </w:r>
    </w:p>
  </w:footnote>
  <w:footnote w:id="8">
    <w:p w14:paraId="1774D82B" w14:textId="012CB7EE"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Komunikat Ministra Rozwoju i Finansów z dnia 12 grudnia 2016 r. </w:t>
      </w:r>
      <w:r w:rsidRPr="00BD5A66">
        <w:rPr>
          <w:rFonts w:ascii="Times New Roman" w:hAnsi="Times New Roman"/>
          <w:i/>
        </w:rPr>
        <w:t>w sprawie standardów audytu wewnętrznego dla jednostek sektora finansów publicznych</w:t>
      </w:r>
      <w:r w:rsidRPr="005C18B8">
        <w:rPr>
          <w:rFonts w:ascii="Times New Roman" w:hAnsi="Times New Roman"/>
        </w:rPr>
        <w:t xml:space="preserve"> (Dz. Urz. Min. Roz. i Fin. poz. 28).</w:t>
      </w:r>
    </w:p>
  </w:footnote>
  <w:footnote w:id="9">
    <w:p w14:paraId="7895A303" w14:textId="77777777" w:rsidR="00D97C25" w:rsidRPr="007B16CC" w:rsidRDefault="00D97C25" w:rsidP="001938CC">
      <w:pPr>
        <w:pStyle w:val="Tekstprzypisudolnego"/>
        <w:jc w:val="both"/>
        <w:rPr>
          <w:rFonts w:ascii="Times New Roman" w:hAnsi="Times New Roman"/>
          <w:i/>
        </w:rPr>
      </w:pPr>
      <w:r w:rsidRPr="005C18B8">
        <w:rPr>
          <w:rStyle w:val="Odwoanieprzypisudolnego"/>
          <w:rFonts w:ascii="Times New Roman" w:hAnsi="Times New Roman"/>
        </w:rPr>
        <w:footnoteRef/>
      </w:r>
      <w:r w:rsidRPr="005C18B8">
        <w:rPr>
          <w:rFonts w:ascii="Times New Roman" w:hAnsi="Times New Roman"/>
        </w:rPr>
        <w:t xml:space="preserve"> </w:t>
      </w:r>
      <w:r w:rsidRPr="00BD5A66">
        <w:rPr>
          <w:rFonts w:ascii="Times New Roman" w:hAnsi="Times New Roman"/>
          <w:bCs/>
        </w:rPr>
        <w:t>Informacja o wynikach kontroli</w:t>
      </w:r>
      <w:r w:rsidRPr="00BD5A66">
        <w:rPr>
          <w:rFonts w:ascii="Times New Roman" w:hAnsi="Times New Roman"/>
        </w:rPr>
        <w:t xml:space="preserve"> </w:t>
      </w:r>
      <w:r>
        <w:rPr>
          <w:rFonts w:ascii="Times New Roman" w:hAnsi="Times New Roman"/>
          <w:i/>
        </w:rPr>
        <w:t>A</w:t>
      </w:r>
      <w:r w:rsidRPr="007B16CC">
        <w:rPr>
          <w:rFonts w:ascii="Times New Roman" w:hAnsi="Times New Roman"/>
          <w:i/>
        </w:rPr>
        <w:t>udyt wewnętrzny</w:t>
      </w:r>
      <w:r>
        <w:rPr>
          <w:rFonts w:ascii="Times New Roman" w:hAnsi="Times New Roman"/>
          <w:i/>
        </w:rPr>
        <w:t xml:space="preserve"> </w:t>
      </w:r>
      <w:r w:rsidRPr="007B16CC">
        <w:rPr>
          <w:rFonts w:ascii="Times New Roman" w:hAnsi="Times New Roman"/>
          <w:i/>
        </w:rPr>
        <w:t>w jednostkach samorządu terytorialnego</w:t>
      </w:r>
      <w:r>
        <w:rPr>
          <w:rFonts w:ascii="Times New Roman" w:hAnsi="Times New Roman"/>
        </w:rPr>
        <w:t>, znak: </w:t>
      </w:r>
      <w:r w:rsidRPr="007B16CC">
        <w:rPr>
          <w:rFonts w:ascii="Times New Roman" w:hAnsi="Times New Roman"/>
        </w:rPr>
        <w:t>LKI.430.007.2019</w:t>
      </w:r>
      <w:r>
        <w:rPr>
          <w:rFonts w:ascii="Times New Roman" w:hAnsi="Times New Roman"/>
        </w:rPr>
        <w:t>, n</w:t>
      </w:r>
      <w:r w:rsidRPr="00BD5A66">
        <w:rPr>
          <w:rFonts w:ascii="Times New Roman" w:hAnsi="Times New Roman"/>
        </w:rPr>
        <w:t>r</w:t>
      </w:r>
      <w:r w:rsidRPr="005C18B8">
        <w:rPr>
          <w:rFonts w:ascii="Times New Roman" w:hAnsi="Times New Roman"/>
        </w:rPr>
        <w:t xml:space="preserve"> </w:t>
      </w:r>
      <w:r w:rsidRPr="005C18B8">
        <w:rPr>
          <w:rFonts w:ascii="Times New Roman" w:hAnsi="Times New Roman"/>
        </w:rPr>
        <w:t xml:space="preserve">ewid. </w:t>
      </w:r>
      <w:r w:rsidRPr="007B16CC">
        <w:rPr>
          <w:rFonts w:ascii="Times New Roman" w:hAnsi="Times New Roman"/>
        </w:rPr>
        <w:t>76/2019/P/19/074/LKI</w:t>
      </w:r>
      <w:r w:rsidRPr="005C18B8">
        <w:rPr>
          <w:rFonts w:ascii="Times New Roman" w:hAnsi="Times New Roman"/>
        </w:rPr>
        <w:t>.</w:t>
      </w:r>
    </w:p>
  </w:footnote>
  <w:footnote w:id="10">
    <w:p w14:paraId="1F9BAF8A" w14:textId="251BFA6B" w:rsidR="00D97C25" w:rsidRPr="00FE3F5A" w:rsidRDefault="00D97C25" w:rsidP="001938CC">
      <w:pPr>
        <w:pStyle w:val="Tekstprzypisudolnego"/>
        <w:jc w:val="both"/>
        <w:rPr>
          <w:rFonts w:asciiTheme="majorBidi" w:hAnsiTheme="majorBidi" w:cstheme="majorBidi"/>
        </w:rPr>
      </w:pPr>
      <w:r w:rsidRPr="00C75020">
        <w:rPr>
          <w:rStyle w:val="Odwoanieprzypisudolnego"/>
          <w:rFonts w:ascii="Times New Roman" w:hAnsi="Times New Roman"/>
        </w:rPr>
        <w:footnoteRef/>
      </w:r>
      <w:r w:rsidRPr="00BD5A66">
        <w:rPr>
          <w:rFonts w:ascii="Times New Roman" w:hAnsi="Times New Roman"/>
        </w:rPr>
        <w:t xml:space="preserve"> Dz. U. z 20</w:t>
      </w:r>
      <w:r w:rsidR="00F14414">
        <w:rPr>
          <w:rFonts w:ascii="Times New Roman" w:hAnsi="Times New Roman"/>
        </w:rPr>
        <w:t>21</w:t>
      </w:r>
      <w:r w:rsidRPr="00BD5A66">
        <w:rPr>
          <w:rFonts w:ascii="Times New Roman" w:hAnsi="Times New Roman"/>
        </w:rPr>
        <w:t xml:space="preserve"> r. poz. 1</w:t>
      </w:r>
      <w:r w:rsidR="00F14414">
        <w:rPr>
          <w:rFonts w:ascii="Times New Roman" w:hAnsi="Times New Roman"/>
        </w:rPr>
        <w:t xml:space="preserve">233, z </w:t>
      </w:r>
      <w:r w:rsidR="00F14414">
        <w:rPr>
          <w:rFonts w:ascii="Times New Roman" w:hAnsi="Times New Roman"/>
        </w:rPr>
        <w:t>późn. zm.</w:t>
      </w:r>
    </w:p>
  </w:footnote>
  <w:footnote w:id="11">
    <w:p w14:paraId="32AA07F1" w14:textId="77777777"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Dz. U. </w:t>
      </w:r>
      <w:r>
        <w:rPr>
          <w:rFonts w:ascii="Times New Roman" w:hAnsi="Times New Roman"/>
        </w:rPr>
        <w:t xml:space="preserve">z 2021 r. poz. 178, z </w:t>
      </w:r>
      <w:r>
        <w:rPr>
          <w:rFonts w:ascii="Times New Roman" w:hAnsi="Times New Roman"/>
        </w:rPr>
        <w:t>późn. zm.</w:t>
      </w:r>
    </w:p>
  </w:footnote>
  <w:footnote w:id="12">
    <w:p w14:paraId="3FFF74FA" w14:textId="7006F687"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Dz. U. z 2020 r. poz. 2176</w:t>
      </w:r>
      <w:r>
        <w:rPr>
          <w:rFonts w:ascii="Times New Roman" w:hAnsi="Times New Roman"/>
        </w:rPr>
        <w:t xml:space="preserve">, z </w:t>
      </w:r>
      <w:r>
        <w:rPr>
          <w:rFonts w:ascii="Times New Roman" w:hAnsi="Times New Roman"/>
        </w:rPr>
        <w:t>późn. zm</w:t>
      </w:r>
      <w:r w:rsidRPr="005C18B8">
        <w:rPr>
          <w:rFonts w:ascii="Times New Roman" w:hAnsi="Times New Roman"/>
        </w:rPr>
        <w:t>.</w:t>
      </w:r>
    </w:p>
  </w:footnote>
  <w:footnote w:id="13">
    <w:p w14:paraId="46377F26" w14:textId="77777777"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Wniosek Rzecznika Praw Obywatelskich z dnia 9 kwietnia 2013 r., znak: RP0-700343-1/12/KM.</w:t>
      </w:r>
    </w:p>
  </w:footnote>
  <w:footnote w:id="14">
    <w:p w14:paraId="5A15B6F6" w14:textId="77777777"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Stanowisko Prokuratora Generalnego,</w:t>
      </w:r>
      <w:r>
        <w:rPr>
          <w:rFonts w:ascii="Times New Roman" w:hAnsi="Times New Roman"/>
        </w:rPr>
        <w:t xml:space="preserve"> z dnia 3 lipca 2013 r., sygn.</w:t>
      </w:r>
      <w:r w:rsidRPr="005C18B8">
        <w:rPr>
          <w:rFonts w:ascii="Times New Roman" w:hAnsi="Times New Roman"/>
        </w:rPr>
        <w:t xml:space="preserve"> akt PG VIII TK 37/13, oraz stenogram rozprawy z dnia 9 kwietnia 2015 r. w sprawie o sygn. K 14/13.</w:t>
      </w:r>
    </w:p>
  </w:footnote>
  <w:footnote w:id="15">
    <w:p w14:paraId="0E18D343" w14:textId="77777777"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w:t>
      </w:r>
      <w:r w:rsidRPr="00BD5A66">
        <w:rPr>
          <w:rFonts w:ascii="Times New Roman" w:hAnsi="Times New Roman"/>
          <w:bCs/>
        </w:rPr>
        <w:t>Informacja o wynikach kontroli</w:t>
      </w:r>
      <w:r w:rsidRPr="00BD5A66">
        <w:rPr>
          <w:rFonts w:ascii="Times New Roman" w:hAnsi="Times New Roman"/>
        </w:rPr>
        <w:t xml:space="preserve"> </w:t>
      </w:r>
      <w:r w:rsidRPr="007B16CC">
        <w:rPr>
          <w:rFonts w:ascii="Times New Roman" w:hAnsi="Times New Roman"/>
          <w:i/>
        </w:rPr>
        <w:t>Zapewnienie bezpieczeństwa działania systemów informatycznych wykorzystywanych do realizacji zadań publicznych</w:t>
      </w:r>
      <w:r>
        <w:rPr>
          <w:rFonts w:ascii="Times New Roman" w:hAnsi="Times New Roman"/>
        </w:rPr>
        <w:t xml:space="preserve">, znak: </w:t>
      </w:r>
      <w:r w:rsidRPr="007B16CC">
        <w:rPr>
          <w:rFonts w:ascii="Times New Roman" w:hAnsi="Times New Roman"/>
        </w:rPr>
        <w:t>KPB.410.004.05.2015</w:t>
      </w:r>
      <w:r>
        <w:rPr>
          <w:rFonts w:ascii="Times New Roman" w:hAnsi="Times New Roman"/>
        </w:rPr>
        <w:t>, n</w:t>
      </w:r>
      <w:r w:rsidRPr="00BD5A66">
        <w:rPr>
          <w:rFonts w:ascii="Times New Roman" w:hAnsi="Times New Roman"/>
        </w:rPr>
        <w:t>r</w:t>
      </w:r>
      <w:r w:rsidRPr="005C18B8">
        <w:rPr>
          <w:rFonts w:ascii="Times New Roman" w:hAnsi="Times New Roman"/>
        </w:rPr>
        <w:t xml:space="preserve"> </w:t>
      </w:r>
      <w:r w:rsidRPr="005C18B8">
        <w:rPr>
          <w:rFonts w:ascii="Times New Roman" w:hAnsi="Times New Roman"/>
        </w:rPr>
        <w:t xml:space="preserve">ewid. </w:t>
      </w:r>
      <w:r w:rsidRPr="007B16CC">
        <w:rPr>
          <w:rFonts w:ascii="Times New Roman" w:hAnsi="Times New Roman"/>
        </w:rPr>
        <w:t>42/2016/P/15/042/KPB</w:t>
      </w:r>
      <w:r w:rsidRPr="005C18B8">
        <w:rPr>
          <w:rFonts w:ascii="Times New Roman" w:hAnsi="Times New Roman"/>
        </w:rPr>
        <w:t>.</w:t>
      </w:r>
    </w:p>
  </w:footnote>
  <w:footnote w:id="16">
    <w:p w14:paraId="696D6749" w14:textId="71544DCE"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Pr>
          <w:rFonts w:ascii="Times New Roman" w:hAnsi="Times New Roman"/>
        </w:rPr>
        <w:t xml:space="preserve"> Dz. U. z 202</w:t>
      </w:r>
      <w:r w:rsidR="00F14414">
        <w:rPr>
          <w:rFonts w:ascii="Times New Roman" w:hAnsi="Times New Roman"/>
        </w:rPr>
        <w:t>2</w:t>
      </w:r>
      <w:r>
        <w:rPr>
          <w:rFonts w:ascii="Times New Roman" w:hAnsi="Times New Roman"/>
        </w:rPr>
        <w:t xml:space="preserve"> r. poz. </w:t>
      </w:r>
      <w:r w:rsidR="00F14414">
        <w:rPr>
          <w:rFonts w:ascii="Times New Roman" w:hAnsi="Times New Roman"/>
        </w:rPr>
        <w:t>813</w:t>
      </w:r>
      <w:r>
        <w:rPr>
          <w:rFonts w:ascii="Times New Roman" w:hAnsi="Times New Roman"/>
        </w:rPr>
        <w:t>,</w:t>
      </w:r>
      <w:r w:rsidRPr="005C18B8">
        <w:rPr>
          <w:rFonts w:ascii="Times New Roman" w:hAnsi="Times New Roman"/>
        </w:rPr>
        <w:t xml:space="preserve"> </w:t>
      </w:r>
      <w:r>
        <w:rPr>
          <w:rFonts w:ascii="Times New Roman" w:hAnsi="Times New Roman"/>
        </w:rPr>
        <w:t xml:space="preserve">z </w:t>
      </w:r>
      <w:r>
        <w:rPr>
          <w:rFonts w:ascii="Times New Roman" w:hAnsi="Times New Roman"/>
        </w:rPr>
        <w:t xml:space="preserve">późn. </w:t>
      </w:r>
      <w:r w:rsidRPr="005C18B8">
        <w:rPr>
          <w:rFonts w:ascii="Times New Roman" w:hAnsi="Times New Roman"/>
        </w:rPr>
        <w:t>zm.</w:t>
      </w:r>
    </w:p>
  </w:footnote>
  <w:footnote w:id="17">
    <w:p w14:paraId="25205355" w14:textId="3526FEF8" w:rsidR="00D97C25" w:rsidRPr="005C18B8" w:rsidRDefault="00D97C25" w:rsidP="001938CC">
      <w:pPr>
        <w:pStyle w:val="Tekstprzypisudolnego"/>
        <w:jc w:val="both"/>
        <w:rPr>
          <w:rFonts w:ascii="Times New Roman" w:hAnsi="Times New Roman"/>
        </w:rPr>
      </w:pPr>
      <w:r w:rsidRPr="005C18B8">
        <w:rPr>
          <w:rStyle w:val="Odwoanieprzypisudolnego"/>
          <w:rFonts w:ascii="Times New Roman" w:hAnsi="Times New Roman"/>
        </w:rPr>
        <w:footnoteRef/>
      </w:r>
      <w:r w:rsidRPr="005C18B8">
        <w:rPr>
          <w:rFonts w:ascii="Times New Roman" w:hAnsi="Times New Roman"/>
        </w:rPr>
        <w:t xml:space="preserve"> Dz. U. z 202</w:t>
      </w:r>
      <w:r w:rsidR="00F14414">
        <w:rPr>
          <w:rFonts w:ascii="Times New Roman" w:hAnsi="Times New Roman"/>
        </w:rPr>
        <w:t>1</w:t>
      </w:r>
      <w:r w:rsidRPr="005C18B8">
        <w:rPr>
          <w:rFonts w:ascii="Times New Roman" w:hAnsi="Times New Roman"/>
        </w:rPr>
        <w:t xml:space="preserve"> r. poz. </w:t>
      </w:r>
      <w:r w:rsidR="00F14414">
        <w:rPr>
          <w:rFonts w:ascii="Times New Roman" w:hAnsi="Times New Roman"/>
        </w:rPr>
        <w:t>2345</w:t>
      </w:r>
      <w:r w:rsidRPr="005C18B8">
        <w:rPr>
          <w:rFonts w:ascii="Times New Roman" w:hAnsi="Times New Roman"/>
        </w:rPr>
        <w:t xml:space="preserve">, z </w:t>
      </w:r>
      <w:r w:rsidRPr="005C18B8">
        <w:rPr>
          <w:rFonts w:ascii="Times New Roman" w:hAnsi="Times New Roman"/>
        </w:rPr>
        <w:t>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4AD"/>
    <w:multiLevelType w:val="hybridMultilevel"/>
    <w:tmpl w:val="7F824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364FBB"/>
    <w:multiLevelType w:val="hybridMultilevel"/>
    <w:tmpl w:val="7F824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65117"/>
    <w:multiLevelType w:val="hybridMultilevel"/>
    <w:tmpl w:val="70EC97EC"/>
    <w:lvl w:ilvl="0" w:tplc="265CEADA">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3" w15:restartNumberingAfterBreak="0">
    <w:nsid w:val="14A772B8"/>
    <w:multiLevelType w:val="hybridMultilevel"/>
    <w:tmpl w:val="3D72D25A"/>
    <w:lvl w:ilvl="0" w:tplc="727A5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0092C"/>
    <w:multiLevelType w:val="hybridMultilevel"/>
    <w:tmpl w:val="7F824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03FD4"/>
    <w:multiLevelType w:val="hybridMultilevel"/>
    <w:tmpl w:val="38E642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7B1751"/>
    <w:multiLevelType w:val="hybridMultilevel"/>
    <w:tmpl w:val="57AA7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27CE6"/>
    <w:multiLevelType w:val="hybridMultilevel"/>
    <w:tmpl w:val="3BCC4ABA"/>
    <w:lvl w:ilvl="0" w:tplc="6A664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3F573A"/>
    <w:multiLevelType w:val="hybridMultilevel"/>
    <w:tmpl w:val="7F824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31663"/>
    <w:multiLevelType w:val="hybridMultilevel"/>
    <w:tmpl w:val="7F824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D1EF7"/>
    <w:multiLevelType w:val="hybridMultilevel"/>
    <w:tmpl w:val="54DE1F94"/>
    <w:lvl w:ilvl="0" w:tplc="B74C6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5C1101"/>
    <w:multiLevelType w:val="hybridMultilevel"/>
    <w:tmpl w:val="A586A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316096"/>
    <w:multiLevelType w:val="hybridMultilevel"/>
    <w:tmpl w:val="3AFC5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569B6"/>
    <w:multiLevelType w:val="hybridMultilevel"/>
    <w:tmpl w:val="7F824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B22E91"/>
    <w:multiLevelType w:val="hybridMultilevel"/>
    <w:tmpl w:val="7F824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373BFF"/>
    <w:multiLevelType w:val="hybridMultilevel"/>
    <w:tmpl w:val="7F824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7C2647"/>
    <w:multiLevelType w:val="hybridMultilevel"/>
    <w:tmpl w:val="7F824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572E01"/>
    <w:multiLevelType w:val="hybridMultilevel"/>
    <w:tmpl w:val="DCB47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993CA8"/>
    <w:multiLevelType w:val="hybridMultilevel"/>
    <w:tmpl w:val="92B48984"/>
    <w:lvl w:ilvl="0" w:tplc="265CEA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2C55DE"/>
    <w:multiLevelType w:val="hybridMultilevel"/>
    <w:tmpl w:val="E7B6E9B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9164133">
    <w:abstractNumId w:val="2"/>
  </w:num>
  <w:num w:numId="2" w16cid:durableId="1270115612">
    <w:abstractNumId w:val="18"/>
  </w:num>
  <w:num w:numId="3" w16cid:durableId="714082454">
    <w:abstractNumId w:val="5"/>
  </w:num>
  <w:num w:numId="4" w16cid:durableId="2143182985">
    <w:abstractNumId w:val="3"/>
  </w:num>
  <w:num w:numId="5" w16cid:durableId="1488278955">
    <w:abstractNumId w:val="7"/>
  </w:num>
  <w:num w:numId="6" w16cid:durableId="866480833">
    <w:abstractNumId w:val="13"/>
  </w:num>
  <w:num w:numId="7" w16cid:durableId="454906666">
    <w:abstractNumId w:val="6"/>
  </w:num>
  <w:num w:numId="8" w16cid:durableId="18921871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73504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9865980">
    <w:abstractNumId w:val="16"/>
  </w:num>
  <w:num w:numId="11" w16cid:durableId="1662462194">
    <w:abstractNumId w:val="1"/>
  </w:num>
  <w:num w:numId="12" w16cid:durableId="1999385557">
    <w:abstractNumId w:val="4"/>
  </w:num>
  <w:num w:numId="13" w16cid:durableId="91750671">
    <w:abstractNumId w:val="8"/>
  </w:num>
  <w:num w:numId="14" w16cid:durableId="305857904">
    <w:abstractNumId w:val="0"/>
  </w:num>
  <w:num w:numId="15" w16cid:durableId="1263562408">
    <w:abstractNumId w:val="15"/>
  </w:num>
  <w:num w:numId="16" w16cid:durableId="329678152">
    <w:abstractNumId w:val="9"/>
  </w:num>
  <w:num w:numId="17" w16cid:durableId="1343161746">
    <w:abstractNumId w:val="14"/>
  </w:num>
  <w:num w:numId="18" w16cid:durableId="1352145776">
    <w:abstractNumId w:val="12"/>
  </w:num>
  <w:num w:numId="19" w16cid:durableId="1715613981">
    <w:abstractNumId w:val="11"/>
  </w:num>
  <w:num w:numId="20" w16cid:durableId="15781744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C8"/>
    <w:rsid w:val="00002000"/>
    <w:rsid w:val="00002087"/>
    <w:rsid w:val="0000741A"/>
    <w:rsid w:val="00010300"/>
    <w:rsid w:val="00013E45"/>
    <w:rsid w:val="00020000"/>
    <w:rsid w:val="0002161D"/>
    <w:rsid w:val="00026DDF"/>
    <w:rsid w:val="000276F1"/>
    <w:rsid w:val="0003095A"/>
    <w:rsid w:val="000349AC"/>
    <w:rsid w:val="00036132"/>
    <w:rsid w:val="00040CCF"/>
    <w:rsid w:val="00041145"/>
    <w:rsid w:val="000413B2"/>
    <w:rsid w:val="00041831"/>
    <w:rsid w:val="00042933"/>
    <w:rsid w:val="000438CD"/>
    <w:rsid w:val="00043F63"/>
    <w:rsid w:val="00047756"/>
    <w:rsid w:val="00051937"/>
    <w:rsid w:val="00052F34"/>
    <w:rsid w:val="0006461D"/>
    <w:rsid w:val="0006549C"/>
    <w:rsid w:val="00065BED"/>
    <w:rsid w:val="00067DD0"/>
    <w:rsid w:val="00067EAB"/>
    <w:rsid w:val="00070EB5"/>
    <w:rsid w:val="00071111"/>
    <w:rsid w:val="00073719"/>
    <w:rsid w:val="00073E39"/>
    <w:rsid w:val="00077A3D"/>
    <w:rsid w:val="00077B14"/>
    <w:rsid w:val="00080647"/>
    <w:rsid w:val="00080C70"/>
    <w:rsid w:val="0008331A"/>
    <w:rsid w:val="000839EA"/>
    <w:rsid w:val="00084559"/>
    <w:rsid w:val="00084D4A"/>
    <w:rsid w:val="0008553B"/>
    <w:rsid w:val="00087354"/>
    <w:rsid w:val="0008775B"/>
    <w:rsid w:val="0009019B"/>
    <w:rsid w:val="00090716"/>
    <w:rsid w:val="00091CB2"/>
    <w:rsid w:val="00092479"/>
    <w:rsid w:val="000926CE"/>
    <w:rsid w:val="0009325F"/>
    <w:rsid w:val="0009525D"/>
    <w:rsid w:val="000A09B7"/>
    <w:rsid w:val="000A0CE9"/>
    <w:rsid w:val="000A26C8"/>
    <w:rsid w:val="000A3AF5"/>
    <w:rsid w:val="000A4E23"/>
    <w:rsid w:val="000B1902"/>
    <w:rsid w:val="000B4D63"/>
    <w:rsid w:val="000B4DDE"/>
    <w:rsid w:val="000B560E"/>
    <w:rsid w:val="000C1ECC"/>
    <w:rsid w:val="000C247B"/>
    <w:rsid w:val="000C396E"/>
    <w:rsid w:val="000C3D6B"/>
    <w:rsid w:val="000C4763"/>
    <w:rsid w:val="000C4FBA"/>
    <w:rsid w:val="000C54D2"/>
    <w:rsid w:val="000D45D4"/>
    <w:rsid w:val="000D526D"/>
    <w:rsid w:val="000D5EA9"/>
    <w:rsid w:val="000F3178"/>
    <w:rsid w:val="000F32F9"/>
    <w:rsid w:val="000F3A0D"/>
    <w:rsid w:val="000F7723"/>
    <w:rsid w:val="00101E37"/>
    <w:rsid w:val="00102625"/>
    <w:rsid w:val="00102735"/>
    <w:rsid w:val="001052FF"/>
    <w:rsid w:val="00107766"/>
    <w:rsid w:val="001112BD"/>
    <w:rsid w:val="001162D2"/>
    <w:rsid w:val="001242A0"/>
    <w:rsid w:val="00125AB4"/>
    <w:rsid w:val="001269A7"/>
    <w:rsid w:val="00126B82"/>
    <w:rsid w:val="00126D1E"/>
    <w:rsid w:val="00131868"/>
    <w:rsid w:val="001338BF"/>
    <w:rsid w:val="00136883"/>
    <w:rsid w:val="001408D8"/>
    <w:rsid w:val="00143569"/>
    <w:rsid w:val="0014651D"/>
    <w:rsid w:val="001545C2"/>
    <w:rsid w:val="00155413"/>
    <w:rsid w:val="00156228"/>
    <w:rsid w:val="0015642B"/>
    <w:rsid w:val="00157E69"/>
    <w:rsid w:val="00157E81"/>
    <w:rsid w:val="001621E8"/>
    <w:rsid w:val="001632B4"/>
    <w:rsid w:val="00164698"/>
    <w:rsid w:val="00165300"/>
    <w:rsid w:val="00165FD7"/>
    <w:rsid w:val="00167106"/>
    <w:rsid w:val="00170BC2"/>
    <w:rsid w:val="0017799C"/>
    <w:rsid w:val="00180070"/>
    <w:rsid w:val="00183710"/>
    <w:rsid w:val="00183D5C"/>
    <w:rsid w:val="00186A79"/>
    <w:rsid w:val="001878A4"/>
    <w:rsid w:val="00191D9F"/>
    <w:rsid w:val="001938CC"/>
    <w:rsid w:val="001977C2"/>
    <w:rsid w:val="001A01A3"/>
    <w:rsid w:val="001A0ABF"/>
    <w:rsid w:val="001A0FD6"/>
    <w:rsid w:val="001A20E6"/>
    <w:rsid w:val="001A43EF"/>
    <w:rsid w:val="001A4C27"/>
    <w:rsid w:val="001A6891"/>
    <w:rsid w:val="001A68A7"/>
    <w:rsid w:val="001B1A99"/>
    <w:rsid w:val="001B4FA4"/>
    <w:rsid w:val="001B54FC"/>
    <w:rsid w:val="001C1204"/>
    <w:rsid w:val="001C3955"/>
    <w:rsid w:val="001C56D0"/>
    <w:rsid w:val="001C77FF"/>
    <w:rsid w:val="001D0E48"/>
    <w:rsid w:val="001D318D"/>
    <w:rsid w:val="001D3BB4"/>
    <w:rsid w:val="001E2F58"/>
    <w:rsid w:val="001E5241"/>
    <w:rsid w:val="002005EF"/>
    <w:rsid w:val="00210E2B"/>
    <w:rsid w:val="00212140"/>
    <w:rsid w:val="00212311"/>
    <w:rsid w:val="00213548"/>
    <w:rsid w:val="002139E7"/>
    <w:rsid w:val="00216961"/>
    <w:rsid w:val="00217F2C"/>
    <w:rsid w:val="00221AE1"/>
    <w:rsid w:val="00222897"/>
    <w:rsid w:val="00222B3D"/>
    <w:rsid w:val="00225804"/>
    <w:rsid w:val="00225EF3"/>
    <w:rsid w:val="00226C45"/>
    <w:rsid w:val="00227804"/>
    <w:rsid w:val="002318D2"/>
    <w:rsid w:val="00231D1F"/>
    <w:rsid w:val="00232358"/>
    <w:rsid w:val="0023791A"/>
    <w:rsid w:val="0024088D"/>
    <w:rsid w:val="00240EA8"/>
    <w:rsid w:val="00244F57"/>
    <w:rsid w:val="00250ED5"/>
    <w:rsid w:val="00252AAE"/>
    <w:rsid w:val="002637A5"/>
    <w:rsid w:val="00267A51"/>
    <w:rsid w:val="00267BC0"/>
    <w:rsid w:val="0027022F"/>
    <w:rsid w:val="00270F5A"/>
    <w:rsid w:val="00271A2D"/>
    <w:rsid w:val="00271B89"/>
    <w:rsid w:val="00272FAB"/>
    <w:rsid w:val="00276A20"/>
    <w:rsid w:val="002775BC"/>
    <w:rsid w:val="00284DCA"/>
    <w:rsid w:val="0028681A"/>
    <w:rsid w:val="00286873"/>
    <w:rsid w:val="00291913"/>
    <w:rsid w:val="002A792C"/>
    <w:rsid w:val="002B2CFF"/>
    <w:rsid w:val="002B55EE"/>
    <w:rsid w:val="002B6630"/>
    <w:rsid w:val="002B68E4"/>
    <w:rsid w:val="002B6F2E"/>
    <w:rsid w:val="002B702E"/>
    <w:rsid w:val="002C0B6D"/>
    <w:rsid w:val="002C2A7E"/>
    <w:rsid w:val="002C33F7"/>
    <w:rsid w:val="002C3685"/>
    <w:rsid w:val="002D1164"/>
    <w:rsid w:val="002D3197"/>
    <w:rsid w:val="002D354E"/>
    <w:rsid w:val="002D588C"/>
    <w:rsid w:val="002D5F00"/>
    <w:rsid w:val="002E1D99"/>
    <w:rsid w:val="002E6A70"/>
    <w:rsid w:val="002F045C"/>
    <w:rsid w:val="002F0A30"/>
    <w:rsid w:val="002F1532"/>
    <w:rsid w:val="002F4680"/>
    <w:rsid w:val="002F4A44"/>
    <w:rsid w:val="002F4AA9"/>
    <w:rsid w:val="002F5E9F"/>
    <w:rsid w:val="002F6188"/>
    <w:rsid w:val="00300A11"/>
    <w:rsid w:val="00301425"/>
    <w:rsid w:val="00305289"/>
    <w:rsid w:val="0030565A"/>
    <w:rsid w:val="00311198"/>
    <w:rsid w:val="00312537"/>
    <w:rsid w:val="00315DAF"/>
    <w:rsid w:val="00323236"/>
    <w:rsid w:val="00325E15"/>
    <w:rsid w:val="00326351"/>
    <w:rsid w:val="0032640F"/>
    <w:rsid w:val="00326A64"/>
    <w:rsid w:val="00327218"/>
    <w:rsid w:val="003310E8"/>
    <w:rsid w:val="0033235F"/>
    <w:rsid w:val="003329CD"/>
    <w:rsid w:val="00335686"/>
    <w:rsid w:val="00335C4D"/>
    <w:rsid w:val="00341367"/>
    <w:rsid w:val="003440A1"/>
    <w:rsid w:val="003440D5"/>
    <w:rsid w:val="003444BE"/>
    <w:rsid w:val="0034459E"/>
    <w:rsid w:val="003467AB"/>
    <w:rsid w:val="00347A55"/>
    <w:rsid w:val="00353A96"/>
    <w:rsid w:val="003655EE"/>
    <w:rsid w:val="003660D6"/>
    <w:rsid w:val="00370BBF"/>
    <w:rsid w:val="0037299A"/>
    <w:rsid w:val="00376911"/>
    <w:rsid w:val="00380314"/>
    <w:rsid w:val="0038031B"/>
    <w:rsid w:val="00380810"/>
    <w:rsid w:val="00382797"/>
    <w:rsid w:val="00382F4F"/>
    <w:rsid w:val="00383274"/>
    <w:rsid w:val="00383DFE"/>
    <w:rsid w:val="00384E80"/>
    <w:rsid w:val="0038512C"/>
    <w:rsid w:val="00385430"/>
    <w:rsid w:val="00386AEB"/>
    <w:rsid w:val="00387660"/>
    <w:rsid w:val="00390BC3"/>
    <w:rsid w:val="003918AB"/>
    <w:rsid w:val="0039445A"/>
    <w:rsid w:val="0039495C"/>
    <w:rsid w:val="00395796"/>
    <w:rsid w:val="00395FF2"/>
    <w:rsid w:val="003A5208"/>
    <w:rsid w:val="003B024D"/>
    <w:rsid w:val="003B17D8"/>
    <w:rsid w:val="003B3C60"/>
    <w:rsid w:val="003B5582"/>
    <w:rsid w:val="003B6683"/>
    <w:rsid w:val="003C5E3B"/>
    <w:rsid w:val="003C6AA7"/>
    <w:rsid w:val="003C7FBA"/>
    <w:rsid w:val="003D0D69"/>
    <w:rsid w:val="003D31A6"/>
    <w:rsid w:val="003D34F7"/>
    <w:rsid w:val="003E0B0D"/>
    <w:rsid w:val="003E5B1D"/>
    <w:rsid w:val="003E5C35"/>
    <w:rsid w:val="003E6822"/>
    <w:rsid w:val="003E7AC2"/>
    <w:rsid w:val="003F08DC"/>
    <w:rsid w:val="003F24C3"/>
    <w:rsid w:val="003F3AA0"/>
    <w:rsid w:val="003F423E"/>
    <w:rsid w:val="003F50D2"/>
    <w:rsid w:val="003F5471"/>
    <w:rsid w:val="003F5984"/>
    <w:rsid w:val="003F6CFF"/>
    <w:rsid w:val="003F71CD"/>
    <w:rsid w:val="003F79C7"/>
    <w:rsid w:val="00404DDB"/>
    <w:rsid w:val="00404EAA"/>
    <w:rsid w:val="0040649E"/>
    <w:rsid w:val="00414024"/>
    <w:rsid w:val="00416B84"/>
    <w:rsid w:val="00416BFC"/>
    <w:rsid w:val="00417C84"/>
    <w:rsid w:val="0042169A"/>
    <w:rsid w:val="00422357"/>
    <w:rsid w:val="00423AA4"/>
    <w:rsid w:val="00430882"/>
    <w:rsid w:val="00432166"/>
    <w:rsid w:val="00432593"/>
    <w:rsid w:val="00433790"/>
    <w:rsid w:val="00447752"/>
    <w:rsid w:val="00447A3B"/>
    <w:rsid w:val="00447CB3"/>
    <w:rsid w:val="00451540"/>
    <w:rsid w:val="0045673A"/>
    <w:rsid w:val="0046031D"/>
    <w:rsid w:val="00465A2D"/>
    <w:rsid w:val="004707CD"/>
    <w:rsid w:val="004719E7"/>
    <w:rsid w:val="00473160"/>
    <w:rsid w:val="00474CB1"/>
    <w:rsid w:val="00480AF4"/>
    <w:rsid w:val="00481F7B"/>
    <w:rsid w:val="00482ACB"/>
    <w:rsid w:val="00483500"/>
    <w:rsid w:val="004840D9"/>
    <w:rsid w:val="00484EC2"/>
    <w:rsid w:val="00485E8E"/>
    <w:rsid w:val="00486889"/>
    <w:rsid w:val="00494FBF"/>
    <w:rsid w:val="00496F32"/>
    <w:rsid w:val="004A050D"/>
    <w:rsid w:val="004A081D"/>
    <w:rsid w:val="004A1D01"/>
    <w:rsid w:val="004A1F75"/>
    <w:rsid w:val="004A22EA"/>
    <w:rsid w:val="004A4CA9"/>
    <w:rsid w:val="004B0383"/>
    <w:rsid w:val="004B0A66"/>
    <w:rsid w:val="004B0A89"/>
    <w:rsid w:val="004B0A95"/>
    <w:rsid w:val="004B22C3"/>
    <w:rsid w:val="004B399D"/>
    <w:rsid w:val="004B526F"/>
    <w:rsid w:val="004B582B"/>
    <w:rsid w:val="004B5952"/>
    <w:rsid w:val="004B66E8"/>
    <w:rsid w:val="004C081D"/>
    <w:rsid w:val="004C2EAC"/>
    <w:rsid w:val="004C4408"/>
    <w:rsid w:val="004C7B38"/>
    <w:rsid w:val="004D18B3"/>
    <w:rsid w:val="004D38D5"/>
    <w:rsid w:val="004D441E"/>
    <w:rsid w:val="004D4D15"/>
    <w:rsid w:val="004D5DFA"/>
    <w:rsid w:val="004E12D2"/>
    <w:rsid w:val="004E4C57"/>
    <w:rsid w:val="004E7E49"/>
    <w:rsid w:val="004F017F"/>
    <w:rsid w:val="004F0AB1"/>
    <w:rsid w:val="004F42D9"/>
    <w:rsid w:val="004F5E15"/>
    <w:rsid w:val="004F6970"/>
    <w:rsid w:val="004F77BC"/>
    <w:rsid w:val="005002B4"/>
    <w:rsid w:val="0050134B"/>
    <w:rsid w:val="00503324"/>
    <w:rsid w:val="00503B44"/>
    <w:rsid w:val="00503C19"/>
    <w:rsid w:val="00504CFD"/>
    <w:rsid w:val="0050550A"/>
    <w:rsid w:val="00506DE1"/>
    <w:rsid w:val="005074AD"/>
    <w:rsid w:val="00510B1B"/>
    <w:rsid w:val="0051231D"/>
    <w:rsid w:val="00512D05"/>
    <w:rsid w:val="00512E69"/>
    <w:rsid w:val="00514543"/>
    <w:rsid w:val="00514978"/>
    <w:rsid w:val="00516483"/>
    <w:rsid w:val="00527821"/>
    <w:rsid w:val="00534C13"/>
    <w:rsid w:val="005403BF"/>
    <w:rsid w:val="00541301"/>
    <w:rsid w:val="00541B1B"/>
    <w:rsid w:val="00545EA6"/>
    <w:rsid w:val="00547146"/>
    <w:rsid w:val="0054742E"/>
    <w:rsid w:val="005474F0"/>
    <w:rsid w:val="0055067A"/>
    <w:rsid w:val="005506C8"/>
    <w:rsid w:val="00553A47"/>
    <w:rsid w:val="00553FD1"/>
    <w:rsid w:val="00557993"/>
    <w:rsid w:val="00564558"/>
    <w:rsid w:val="0056460F"/>
    <w:rsid w:val="00564A29"/>
    <w:rsid w:val="0056734F"/>
    <w:rsid w:val="00567433"/>
    <w:rsid w:val="00567844"/>
    <w:rsid w:val="005732AB"/>
    <w:rsid w:val="00573FC5"/>
    <w:rsid w:val="00576E2B"/>
    <w:rsid w:val="0057757D"/>
    <w:rsid w:val="00582CDF"/>
    <w:rsid w:val="00593786"/>
    <w:rsid w:val="00594F4D"/>
    <w:rsid w:val="00595C7E"/>
    <w:rsid w:val="00596934"/>
    <w:rsid w:val="005A1B99"/>
    <w:rsid w:val="005A58A9"/>
    <w:rsid w:val="005A623C"/>
    <w:rsid w:val="005B0152"/>
    <w:rsid w:val="005B513B"/>
    <w:rsid w:val="005B7279"/>
    <w:rsid w:val="005C1559"/>
    <w:rsid w:val="005C6860"/>
    <w:rsid w:val="005D0273"/>
    <w:rsid w:val="005D0893"/>
    <w:rsid w:val="005D62C2"/>
    <w:rsid w:val="005D7C5F"/>
    <w:rsid w:val="005E083C"/>
    <w:rsid w:val="005E0E77"/>
    <w:rsid w:val="005E2C0A"/>
    <w:rsid w:val="005E7A6B"/>
    <w:rsid w:val="005F12D4"/>
    <w:rsid w:val="005F34AE"/>
    <w:rsid w:val="005F41B6"/>
    <w:rsid w:val="005F4697"/>
    <w:rsid w:val="005F5B82"/>
    <w:rsid w:val="005F6DD5"/>
    <w:rsid w:val="005F6E4A"/>
    <w:rsid w:val="00601BD6"/>
    <w:rsid w:val="00603578"/>
    <w:rsid w:val="00603C7B"/>
    <w:rsid w:val="00606BB0"/>
    <w:rsid w:val="006133A7"/>
    <w:rsid w:val="00614FC5"/>
    <w:rsid w:val="00617225"/>
    <w:rsid w:val="00620484"/>
    <w:rsid w:val="00621106"/>
    <w:rsid w:val="00622FF5"/>
    <w:rsid w:val="00624EEE"/>
    <w:rsid w:val="00630A1A"/>
    <w:rsid w:val="00632F4E"/>
    <w:rsid w:val="0063497F"/>
    <w:rsid w:val="0064274D"/>
    <w:rsid w:val="006447F5"/>
    <w:rsid w:val="00650C8E"/>
    <w:rsid w:val="00655326"/>
    <w:rsid w:val="006570FA"/>
    <w:rsid w:val="00657536"/>
    <w:rsid w:val="0066073A"/>
    <w:rsid w:val="006618A9"/>
    <w:rsid w:val="006619A2"/>
    <w:rsid w:val="006639A8"/>
    <w:rsid w:val="00667829"/>
    <w:rsid w:val="00670E65"/>
    <w:rsid w:val="00671885"/>
    <w:rsid w:val="006742BC"/>
    <w:rsid w:val="00674CB4"/>
    <w:rsid w:val="00680892"/>
    <w:rsid w:val="0068127C"/>
    <w:rsid w:val="00681CA2"/>
    <w:rsid w:val="00681E46"/>
    <w:rsid w:val="00682105"/>
    <w:rsid w:val="00682410"/>
    <w:rsid w:val="006905A3"/>
    <w:rsid w:val="00691235"/>
    <w:rsid w:val="006975F4"/>
    <w:rsid w:val="006A393F"/>
    <w:rsid w:val="006A5137"/>
    <w:rsid w:val="006A726E"/>
    <w:rsid w:val="006B4789"/>
    <w:rsid w:val="006C1A5C"/>
    <w:rsid w:val="006C3A23"/>
    <w:rsid w:val="006C507A"/>
    <w:rsid w:val="006C6887"/>
    <w:rsid w:val="006D0E2F"/>
    <w:rsid w:val="006D1D8E"/>
    <w:rsid w:val="006D30A0"/>
    <w:rsid w:val="006D4C57"/>
    <w:rsid w:val="006D6959"/>
    <w:rsid w:val="006D6A93"/>
    <w:rsid w:val="006D6E5F"/>
    <w:rsid w:val="006E52E2"/>
    <w:rsid w:val="006E6596"/>
    <w:rsid w:val="006F2211"/>
    <w:rsid w:val="006F2D55"/>
    <w:rsid w:val="006F2E0E"/>
    <w:rsid w:val="007000DA"/>
    <w:rsid w:val="00700A37"/>
    <w:rsid w:val="0070164D"/>
    <w:rsid w:val="00705053"/>
    <w:rsid w:val="00705478"/>
    <w:rsid w:val="0071009D"/>
    <w:rsid w:val="00710CA4"/>
    <w:rsid w:val="00713591"/>
    <w:rsid w:val="00714131"/>
    <w:rsid w:val="00720F56"/>
    <w:rsid w:val="00723B23"/>
    <w:rsid w:val="0072468A"/>
    <w:rsid w:val="007246AB"/>
    <w:rsid w:val="00725683"/>
    <w:rsid w:val="0073270F"/>
    <w:rsid w:val="007350BE"/>
    <w:rsid w:val="00740754"/>
    <w:rsid w:val="00743125"/>
    <w:rsid w:val="00746639"/>
    <w:rsid w:val="0075035B"/>
    <w:rsid w:val="00750581"/>
    <w:rsid w:val="00753B13"/>
    <w:rsid w:val="00756B01"/>
    <w:rsid w:val="00757F5C"/>
    <w:rsid w:val="00761A62"/>
    <w:rsid w:val="00761EDC"/>
    <w:rsid w:val="0076247C"/>
    <w:rsid w:val="007707F9"/>
    <w:rsid w:val="0077248C"/>
    <w:rsid w:val="007740F9"/>
    <w:rsid w:val="00783501"/>
    <w:rsid w:val="00783D3F"/>
    <w:rsid w:val="00784068"/>
    <w:rsid w:val="00787570"/>
    <w:rsid w:val="00793D56"/>
    <w:rsid w:val="007943B1"/>
    <w:rsid w:val="0079549A"/>
    <w:rsid w:val="00796BEE"/>
    <w:rsid w:val="00797359"/>
    <w:rsid w:val="00797A46"/>
    <w:rsid w:val="007A0055"/>
    <w:rsid w:val="007A151E"/>
    <w:rsid w:val="007A1F1D"/>
    <w:rsid w:val="007A204A"/>
    <w:rsid w:val="007A23BB"/>
    <w:rsid w:val="007A3885"/>
    <w:rsid w:val="007B022A"/>
    <w:rsid w:val="007B0706"/>
    <w:rsid w:val="007B0BA3"/>
    <w:rsid w:val="007B1E22"/>
    <w:rsid w:val="007B2F99"/>
    <w:rsid w:val="007C0721"/>
    <w:rsid w:val="007C1F1D"/>
    <w:rsid w:val="007C22B4"/>
    <w:rsid w:val="007C2EB9"/>
    <w:rsid w:val="007C5ACF"/>
    <w:rsid w:val="007C7E48"/>
    <w:rsid w:val="007D3443"/>
    <w:rsid w:val="007D4157"/>
    <w:rsid w:val="007D5447"/>
    <w:rsid w:val="007E0175"/>
    <w:rsid w:val="007E3086"/>
    <w:rsid w:val="007E63BA"/>
    <w:rsid w:val="007E66D3"/>
    <w:rsid w:val="007E7198"/>
    <w:rsid w:val="007F3BD8"/>
    <w:rsid w:val="007F4DC3"/>
    <w:rsid w:val="007F599F"/>
    <w:rsid w:val="007F67F2"/>
    <w:rsid w:val="007F6800"/>
    <w:rsid w:val="00801A91"/>
    <w:rsid w:val="00802971"/>
    <w:rsid w:val="00804B5E"/>
    <w:rsid w:val="00804B65"/>
    <w:rsid w:val="00806CBF"/>
    <w:rsid w:val="00810515"/>
    <w:rsid w:val="00810694"/>
    <w:rsid w:val="00813FD5"/>
    <w:rsid w:val="00820153"/>
    <w:rsid w:val="00820536"/>
    <w:rsid w:val="00820C93"/>
    <w:rsid w:val="00821096"/>
    <w:rsid w:val="008249F3"/>
    <w:rsid w:val="00826A2D"/>
    <w:rsid w:val="00830676"/>
    <w:rsid w:val="00833378"/>
    <w:rsid w:val="00841BB4"/>
    <w:rsid w:val="00844E5F"/>
    <w:rsid w:val="00846A89"/>
    <w:rsid w:val="0085592A"/>
    <w:rsid w:val="00857D42"/>
    <w:rsid w:val="00864B7A"/>
    <w:rsid w:val="008650E5"/>
    <w:rsid w:val="0087011F"/>
    <w:rsid w:val="0087187E"/>
    <w:rsid w:val="00871B3C"/>
    <w:rsid w:val="008724C8"/>
    <w:rsid w:val="0087274A"/>
    <w:rsid w:val="0087564C"/>
    <w:rsid w:val="00875887"/>
    <w:rsid w:val="008806B2"/>
    <w:rsid w:val="00881E50"/>
    <w:rsid w:val="00884C7D"/>
    <w:rsid w:val="00885618"/>
    <w:rsid w:val="008874CE"/>
    <w:rsid w:val="00891E9D"/>
    <w:rsid w:val="00893089"/>
    <w:rsid w:val="00895C3D"/>
    <w:rsid w:val="00896082"/>
    <w:rsid w:val="00897E66"/>
    <w:rsid w:val="008A06C9"/>
    <w:rsid w:val="008A4E2D"/>
    <w:rsid w:val="008A6F71"/>
    <w:rsid w:val="008A6FDD"/>
    <w:rsid w:val="008A7936"/>
    <w:rsid w:val="008A7F86"/>
    <w:rsid w:val="008B0980"/>
    <w:rsid w:val="008B0FD7"/>
    <w:rsid w:val="008B279D"/>
    <w:rsid w:val="008B3F0D"/>
    <w:rsid w:val="008B7FEB"/>
    <w:rsid w:val="008C074B"/>
    <w:rsid w:val="008C07CB"/>
    <w:rsid w:val="008D3B9B"/>
    <w:rsid w:val="008D4639"/>
    <w:rsid w:val="008D5559"/>
    <w:rsid w:val="008D5992"/>
    <w:rsid w:val="008E33DD"/>
    <w:rsid w:val="008E3DCA"/>
    <w:rsid w:val="008E5FB3"/>
    <w:rsid w:val="008E6813"/>
    <w:rsid w:val="008E77A6"/>
    <w:rsid w:val="008E7E82"/>
    <w:rsid w:val="008F11D1"/>
    <w:rsid w:val="008F1559"/>
    <w:rsid w:val="008F1FA7"/>
    <w:rsid w:val="008F2180"/>
    <w:rsid w:val="008F4CB6"/>
    <w:rsid w:val="00901B1C"/>
    <w:rsid w:val="0090313B"/>
    <w:rsid w:val="00910698"/>
    <w:rsid w:val="00912937"/>
    <w:rsid w:val="00913234"/>
    <w:rsid w:val="00914A45"/>
    <w:rsid w:val="00917B18"/>
    <w:rsid w:val="009246BD"/>
    <w:rsid w:val="009266FD"/>
    <w:rsid w:val="00926F52"/>
    <w:rsid w:val="00927C49"/>
    <w:rsid w:val="0093172C"/>
    <w:rsid w:val="009346B0"/>
    <w:rsid w:val="0093498B"/>
    <w:rsid w:val="00943864"/>
    <w:rsid w:val="00943BCB"/>
    <w:rsid w:val="009448A1"/>
    <w:rsid w:val="009505B8"/>
    <w:rsid w:val="00950B07"/>
    <w:rsid w:val="0095698E"/>
    <w:rsid w:val="0095742A"/>
    <w:rsid w:val="00960368"/>
    <w:rsid w:val="009612EA"/>
    <w:rsid w:val="009629E2"/>
    <w:rsid w:val="00965AA8"/>
    <w:rsid w:val="009669FA"/>
    <w:rsid w:val="00971964"/>
    <w:rsid w:val="009742B3"/>
    <w:rsid w:val="00974A1D"/>
    <w:rsid w:val="00980D9F"/>
    <w:rsid w:val="00982856"/>
    <w:rsid w:val="009833AB"/>
    <w:rsid w:val="00983AEB"/>
    <w:rsid w:val="00992BFD"/>
    <w:rsid w:val="00994718"/>
    <w:rsid w:val="00994A98"/>
    <w:rsid w:val="009A5153"/>
    <w:rsid w:val="009A6625"/>
    <w:rsid w:val="009A664B"/>
    <w:rsid w:val="009A676A"/>
    <w:rsid w:val="009B083A"/>
    <w:rsid w:val="009B6D35"/>
    <w:rsid w:val="009C2A8C"/>
    <w:rsid w:val="009C529B"/>
    <w:rsid w:val="009C787C"/>
    <w:rsid w:val="009D032C"/>
    <w:rsid w:val="009D3C10"/>
    <w:rsid w:val="009D78E2"/>
    <w:rsid w:val="009E2C54"/>
    <w:rsid w:val="009E308E"/>
    <w:rsid w:val="009E4625"/>
    <w:rsid w:val="009E6CBD"/>
    <w:rsid w:val="009F31E3"/>
    <w:rsid w:val="009F4AAD"/>
    <w:rsid w:val="009F6AD3"/>
    <w:rsid w:val="009F6F73"/>
    <w:rsid w:val="00A001CE"/>
    <w:rsid w:val="00A01E7C"/>
    <w:rsid w:val="00A1008D"/>
    <w:rsid w:val="00A10490"/>
    <w:rsid w:val="00A166FA"/>
    <w:rsid w:val="00A172ED"/>
    <w:rsid w:val="00A202C6"/>
    <w:rsid w:val="00A20FE7"/>
    <w:rsid w:val="00A2538F"/>
    <w:rsid w:val="00A33030"/>
    <w:rsid w:val="00A33B42"/>
    <w:rsid w:val="00A34CAE"/>
    <w:rsid w:val="00A34EA8"/>
    <w:rsid w:val="00A353CC"/>
    <w:rsid w:val="00A3710D"/>
    <w:rsid w:val="00A435B6"/>
    <w:rsid w:val="00A43AD5"/>
    <w:rsid w:val="00A45795"/>
    <w:rsid w:val="00A53A78"/>
    <w:rsid w:val="00A55A5B"/>
    <w:rsid w:val="00A55D76"/>
    <w:rsid w:val="00A602A2"/>
    <w:rsid w:val="00A60AB8"/>
    <w:rsid w:val="00A60D90"/>
    <w:rsid w:val="00A64BB3"/>
    <w:rsid w:val="00A663D5"/>
    <w:rsid w:val="00A76324"/>
    <w:rsid w:val="00A77E07"/>
    <w:rsid w:val="00A80136"/>
    <w:rsid w:val="00A80706"/>
    <w:rsid w:val="00A83571"/>
    <w:rsid w:val="00A837AC"/>
    <w:rsid w:val="00A838CB"/>
    <w:rsid w:val="00A85677"/>
    <w:rsid w:val="00A86C3C"/>
    <w:rsid w:val="00A876A7"/>
    <w:rsid w:val="00A91104"/>
    <w:rsid w:val="00A93803"/>
    <w:rsid w:val="00A97B82"/>
    <w:rsid w:val="00AA418A"/>
    <w:rsid w:val="00AA4581"/>
    <w:rsid w:val="00AA4BD5"/>
    <w:rsid w:val="00AA6C04"/>
    <w:rsid w:val="00AB03F9"/>
    <w:rsid w:val="00AB1AF2"/>
    <w:rsid w:val="00AB522F"/>
    <w:rsid w:val="00AB57AD"/>
    <w:rsid w:val="00AC2C0C"/>
    <w:rsid w:val="00AC4A2D"/>
    <w:rsid w:val="00AC7034"/>
    <w:rsid w:val="00AC7B9C"/>
    <w:rsid w:val="00AD3603"/>
    <w:rsid w:val="00AD7908"/>
    <w:rsid w:val="00AE0A03"/>
    <w:rsid w:val="00AE0F2E"/>
    <w:rsid w:val="00AE1D8E"/>
    <w:rsid w:val="00AE28BB"/>
    <w:rsid w:val="00AE29D2"/>
    <w:rsid w:val="00AE5877"/>
    <w:rsid w:val="00AF6F8C"/>
    <w:rsid w:val="00AF74C1"/>
    <w:rsid w:val="00B01567"/>
    <w:rsid w:val="00B0212C"/>
    <w:rsid w:val="00B06FAF"/>
    <w:rsid w:val="00B103CB"/>
    <w:rsid w:val="00B1454C"/>
    <w:rsid w:val="00B146EC"/>
    <w:rsid w:val="00B17811"/>
    <w:rsid w:val="00B235D3"/>
    <w:rsid w:val="00B30CC9"/>
    <w:rsid w:val="00B30EEB"/>
    <w:rsid w:val="00B3156F"/>
    <w:rsid w:val="00B31A54"/>
    <w:rsid w:val="00B31B67"/>
    <w:rsid w:val="00B330F5"/>
    <w:rsid w:val="00B34F60"/>
    <w:rsid w:val="00B37EF2"/>
    <w:rsid w:val="00B416FD"/>
    <w:rsid w:val="00B42069"/>
    <w:rsid w:val="00B43D9D"/>
    <w:rsid w:val="00B4616F"/>
    <w:rsid w:val="00B511AC"/>
    <w:rsid w:val="00B5219F"/>
    <w:rsid w:val="00B52EFF"/>
    <w:rsid w:val="00B55B8E"/>
    <w:rsid w:val="00B579D8"/>
    <w:rsid w:val="00B620A9"/>
    <w:rsid w:val="00B639C4"/>
    <w:rsid w:val="00B701AE"/>
    <w:rsid w:val="00B7513D"/>
    <w:rsid w:val="00B75E51"/>
    <w:rsid w:val="00B775DE"/>
    <w:rsid w:val="00B77EA4"/>
    <w:rsid w:val="00B811ED"/>
    <w:rsid w:val="00B83A8C"/>
    <w:rsid w:val="00B83FAC"/>
    <w:rsid w:val="00B84E88"/>
    <w:rsid w:val="00B86326"/>
    <w:rsid w:val="00B90395"/>
    <w:rsid w:val="00B90403"/>
    <w:rsid w:val="00B93373"/>
    <w:rsid w:val="00B96BBE"/>
    <w:rsid w:val="00B97DA8"/>
    <w:rsid w:val="00BA29F9"/>
    <w:rsid w:val="00BA5CA2"/>
    <w:rsid w:val="00BA7E37"/>
    <w:rsid w:val="00BB2654"/>
    <w:rsid w:val="00BB4A57"/>
    <w:rsid w:val="00BB4A77"/>
    <w:rsid w:val="00BB4FAA"/>
    <w:rsid w:val="00BB5698"/>
    <w:rsid w:val="00BB7E18"/>
    <w:rsid w:val="00BC2643"/>
    <w:rsid w:val="00BC2B58"/>
    <w:rsid w:val="00BC3D74"/>
    <w:rsid w:val="00BD1FAA"/>
    <w:rsid w:val="00BD51A2"/>
    <w:rsid w:val="00BE31B7"/>
    <w:rsid w:val="00BE3ECA"/>
    <w:rsid w:val="00BE4050"/>
    <w:rsid w:val="00BE54D7"/>
    <w:rsid w:val="00BE650F"/>
    <w:rsid w:val="00BE67CA"/>
    <w:rsid w:val="00BE6971"/>
    <w:rsid w:val="00BF182A"/>
    <w:rsid w:val="00BF26C9"/>
    <w:rsid w:val="00BF445D"/>
    <w:rsid w:val="00BF4B8C"/>
    <w:rsid w:val="00BF6811"/>
    <w:rsid w:val="00C0027A"/>
    <w:rsid w:val="00C00866"/>
    <w:rsid w:val="00C02F74"/>
    <w:rsid w:val="00C038D0"/>
    <w:rsid w:val="00C0403F"/>
    <w:rsid w:val="00C15A16"/>
    <w:rsid w:val="00C175BB"/>
    <w:rsid w:val="00C20616"/>
    <w:rsid w:val="00C23E3C"/>
    <w:rsid w:val="00C25F18"/>
    <w:rsid w:val="00C26A7B"/>
    <w:rsid w:val="00C2770D"/>
    <w:rsid w:val="00C312E8"/>
    <w:rsid w:val="00C32361"/>
    <w:rsid w:val="00C324D8"/>
    <w:rsid w:val="00C35BDC"/>
    <w:rsid w:val="00C3708F"/>
    <w:rsid w:val="00C4156A"/>
    <w:rsid w:val="00C43655"/>
    <w:rsid w:val="00C43AAC"/>
    <w:rsid w:val="00C44295"/>
    <w:rsid w:val="00C51137"/>
    <w:rsid w:val="00C51AB0"/>
    <w:rsid w:val="00C5259F"/>
    <w:rsid w:val="00C53D13"/>
    <w:rsid w:val="00C55A2D"/>
    <w:rsid w:val="00C642E2"/>
    <w:rsid w:val="00C662AC"/>
    <w:rsid w:val="00C76E78"/>
    <w:rsid w:val="00C8061D"/>
    <w:rsid w:val="00C87EE9"/>
    <w:rsid w:val="00C90852"/>
    <w:rsid w:val="00C934C9"/>
    <w:rsid w:val="00C942FF"/>
    <w:rsid w:val="00C9489A"/>
    <w:rsid w:val="00C950E9"/>
    <w:rsid w:val="00C960F0"/>
    <w:rsid w:val="00CA2D94"/>
    <w:rsid w:val="00CA3A11"/>
    <w:rsid w:val="00CA409C"/>
    <w:rsid w:val="00CA47B6"/>
    <w:rsid w:val="00CB0474"/>
    <w:rsid w:val="00CB4517"/>
    <w:rsid w:val="00CB742E"/>
    <w:rsid w:val="00CC2973"/>
    <w:rsid w:val="00CC298B"/>
    <w:rsid w:val="00CC793C"/>
    <w:rsid w:val="00CD0A33"/>
    <w:rsid w:val="00CD16A8"/>
    <w:rsid w:val="00CD1F0D"/>
    <w:rsid w:val="00CD37EA"/>
    <w:rsid w:val="00CD54A7"/>
    <w:rsid w:val="00CD63C4"/>
    <w:rsid w:val="00CD6872"/>
    <w:rsid w:val="00CE13F3"/>
    <w:rsid w:val="00CE1896"/>
    <w:rsid w:val="00CF0209"/>
    <w:rsid w:val="00CF129E"/>
    <w:rsid w:val="00CF175A"/>
    <w:rsid w:val="00CF19BB"/>
    <w:rsid w:val="00CF7BBF"/>
    <w:rsid w:val="00CF7CDA"/>
    <w:rsid w:val="00D03F35"/>
    <w:rsid w:val="00D04A6B"/>
    <w:rsid w:val="00D0613B"/>
    <w:rsid w:val="00D06232"/>
    <w:rsid w:val="00D12A3C"/>
    <w:rsid w:val="00D20217"/>
    <w:rsid w:val="00D2105F"/>
    <w:rsid w:val="00D227F6"/>
    <w:rsid w:val="00D2402B"/>
    <w:rsid w:val="00D304B7"/>
    <w:rsid w:val="00D308A9"/>
    <w:rsid w:val="00D315DC"/>
    <w:rsid w:val="00D343F0"/>
    <w:rsid w:val="00D354F9"/>
    <w:rsid w:val="00D4030E"/>
    <w:rsid w:val="00D42863"/>
    <w:rsid w:val="00D44419"/>
    <w:rsid w:val="00D44D52"/>
    <w:rsid w:val="00D53E0E"/>
    <w:rsid w:val="00D55EBF"/>
    <w:rsid w:val="00D574DB"/>
    <w:rsid w:val="00D6187D"/>
    <w:rsid w:val="00D674DA"/>
    <w:rsid w:val="00D71244"/>
    <w:rsid w:val="00D7156E"/>
    <w:rsid w:val="00D748DB"/>
    <w:rsid w:val="00D775E7"/>
    <w:rsid w:val="00D812E8"/>
    <w:rsid w:val="00D813C3"/>
    <w:rsid w:val="00D81E88"/>
    <w:rsid w:val="00D8275B"/>
    <w:rsid w:val="00D82CA9"/>
    <w:rsid w:val="00D82D1E"/>
    <w:rsid w:val="00D83FE7"/>
    <w:rsid w:val="00D878F6"/>
    <w:rsid w:val="00D905A9"/>
    <w:rsid w:val="00D90DFF"/>
    <w:rsid w:val="00D91734"/>
    <w:rsid w:val="00D95012"/>
    <w:rsid w:val="00D9559D"/>
    <w:rsid w:val="00D97715"/>
    <w:rsid w:val="00D97C25"/>
    <w:rsid w:val="00DA1E6C"/>
    <w:rsid w:val="00DA23E1"/>
    <w:rsid w:val="00DA3394"/>
    <w:rsid w:val="00DA58FD"/>
    <w:rsid w:val="00DA5A17"/>
    <w:rsid w:val="00DB134D"/>
    <w:rsid w:val="00DB1802"/>
    <w:rsid w:val="00DB39E2"/>
    <w:rsid w:val="00DB48B7"/>
    <w:rsid w:val="00DC1964"/>
    <w:rsid w:val="00DC60A4"/>
    <w:rsid w:val="00DD2C74"/>
    <w:rsid w:val="00DD4998"/>
    <w:rsid w:val="00DD4AD6"/>
    <w:rsid w:val="00DD4C1D"/>
    <w:rsid w:val="00DD6039"/>
    <w:rsid w:val="00DE08F9"/>
    <w:rsid w:val="00DE0987"/>
    <w:rsid w:val="00DE31FD"/>
    <w:rsid w:val="00DE57EA"/>
    <w:rsid w:val="00DE5F4A"/>
    <w:rsid w:val="00DF3D66"/>
    <w:rsid w:val="00DF4636"/>
    <w:rsid w:val="00DF512A"/>
    <w:rsid w:val="00E00DC9"/>
    <w:rsid w:val="00E12AB1"/>
    <w:rsid w:val="00E14F53"/>
    <w:rsid w:val="00E1643C"/>
    <w:rsid w:val="00E201DC"/>
    <w:rsid w:val="00E239AA"/>
    <w:rsid w:val="00E24565"/>
    <w:rsid w:val="00E24FC0"/>
    <w:rsid w:val="00E25152"/>
    <w:rsid w:val="00E252FD"/>
    <w:rsid w:val="00E26A09"/>
    <w:rsid w:val="00E26EDF"/>
    <w:rsid w:val="00E273BE"/>
    <w:rsid w:val="00E277FA"/>
    <w:rsid w:val="00E313CE"/>
    <w:rsid w:val="00E31C02"/>
    <w:rsid w:val="00E3368B"/>
    <w:rsid w:val="00E3441D"/>
    <w:rsid w:val="00E35EA5"/>
    <w:rsid w:val="00E36D67"/>
    <w:rsid w:val="00E36D85"/>
    <w:rsid w:val="00E36EC1"/>
    <w:rsid w:val="00E37098"/>
    <w:rsid w:val="00E378CE"/>
    <w:rsid w:val="00E40048"/>
    <w:rsid w:val="00E43360"/>
    <w:rsid w:val="00E45A05"/>
    <w:rsid w:val="00E47872"/>
    <w:rsid w:val="00E51983"/>
    <w:rsid w:val="00E522C4"/>
    <w:rsid w:val="00E53C57"/>
    <w:rsid w:val="00E54E04"/>
    <w:rsid w:val="00E5610D"/>
    <w:rsid w:val="00E65E20"/>
    <w:rsid w:val="00E670F5"/>
    <w:rsid w:val="00E67FBD"/>
    <w:rsid w:val="00E70068"/>
    <w:rsid w:val="00E70A10"/>
    <w:rsid w:val="00E70C86"/>
    <w:rsid w:val="00E71E91"/>
    <w:rsid w:val="00E75A84"/>
    <w:rsid w:val="00E767A0"/>
    <w:rsid w:val="00E7736B"/>
    <w:rsid w:val="00E82360"/>
    <w:rsid w:val="00E82C41"/>
    <w:rsid w:val="00E84C1D"/>
    <w:rsid w:val="00E84D69"/>
    <w:rsid w:val="00E8512F"/>
    <w:rsid w:val="00E85FD0"/>
    <w:rsid w:val="00E935DD"/>
    <w:rsid w:val="00E942F8"/>
    <w:rsid w:val="00E94827"/>
    <w:rsid w:val="00E97443"/>
    <w:rsid w:val="00EA0A2C"/>
    <w:rsid w:val="00EA5710"/>
    <w:rsid w:val="00EA5A8C"/>
    <w:rsid w:val="00EB1726"/>
    <w:rsid w:val="00EB61E8"/>
    <w:rsid w:val="00EB6F8D"/>
    <w:rsid w:val="00EC4752"/>
    <w:rsid w:val="00EC4DAF"/>
    <w:rsid w:val="00EC51E6"/>
    <w:rsid w:val="00EC77DF"/>
    <w:rsid w:val="00EC7A2E"/>
    <w:rsid w:val="00ED43CB"/>
    <w:rsid w:val="00ED4A13"/>
    <w:rsid w:val="00ED6C00"/>
    <w:rsid w:val="00EE01DA"/>
    <w:rsid w:val="00EE0F4B"/>
    <w:rsid w:val="00EE56E7"/>
    <w:rsid w:val="00EE593F"/>
    <w:rsid w:val="00EE6CF5"/>
    <w:rsid w:val="00EE700E"/>
    <w:rsid w:val="00EE73A0"/>
    <w:rsid w:val="00EE7A5E"/>
    <w:rsid w:val="00EF1729"/>
    <w:rsid w:val="00EF3624"/>
    <w:rsid w:val="00EF60D6"/>
    <w:rsid w:val="00EF6C4A"/>
    <w:rsid w:val="00EF77D0"/>
    <w:rsid w:val="00F0087B"/>
    <w:rsid w:val="00F03663"/>
    <w:rsid w:val="00F069AA"/>
    <w:rsid w:val="00F14414"/>
    <w:rsid w:val="00F16562"/>
    <w:rsid w:val="00F16961"/>
    <w:rsid w:val="00F20024"/>
    <w:rsid w:val="00F2085A"/>
    <w:rsid w:val="00F21CAA"/>
    <w:rsid w:val="00F2218A"/>
    <w:rsid w:val="00F223B0"/>
    <w:rsid w:val="00F24623"/>
    <w:rsid w:val="00F30B96"/>
    <w:rsid w:val="00F331B2"/>
    <w:rsid w:val="00F349B9"/>
    <w:rsid w:val="00F35886"/>
    <w:rsid w:val="00F365BB"/>
    <w:rsid w:val="00F376B8"/>
    <w:rsid w:val="00F4012D"/>
    <w:rsid w:val="00F42E7A"/>
    <w:rsid w:val="00F445CD"/>
    <w:rsid w:val="00F445DA"/>
    <w:rsid w:val="00F45758"/>
    <w:rsid w:val="00F51A53"/>
    <w:rsid w:val="00F53CCF"/>
    <w:rsid w:val="00F543B0"/>
    <w:rsid w:val="00F54F8E"/>
    <w:rsid w:val="00F57034"/>
    <w:rsid w:val="00F57335"/>
    <w:rsid w:val="00F57E70"/>
    <w:rsid w:val="00F601FD"/>
    <w:rsid w:val="00F64917"/>
    <w:rsid w:val="00F64C14"/>
    <w:rsid w:val="00F66EAD"/>
    <w:rsid w:val="00F6724D"/>
    <w:rsid w:val="00F720C3"/>
    <w:rsid w:val="00F74903"/>
    <w:rsid w:val="00F7702F"/>
    <w:rsid w:val="00F80F94"/>
    <w:rsid w:val="00F81456"/>
    <w:rsid w:val="00F814E0"/>
    <w:rsid w:val="00F82287"/>
    <w:rsid w:val="00F843E4"/>
    <w:rsid w:val="00F85130"/>
    <w:rsid w:val="00F86F11"/>
    <w:rsid w:val="00F924BC"/>
    <w:rsid w:val="00F94DEE"/>
    <w:rsid w:val="00F95DE3"/>
    <w:rsid w:val="00FA1165"/>
    <w:rsid w:val="00FA1497"/>
    <w:rsid w:val="00FA48E2"/>
    <w:rsid w:val="00FA67F5"/>
    <w:rsid w:val="00FB08F8"/>
    <w:rsid w:val="00FB1B16"/>
    <w:rsid w:val="00FB1B2A"/>
    <w:rsid w:val="00FB1BBB"/>
    <w:rsid w:val="00FB1E46"/>
    <w:rsid w:val="00FB28B4"/>
    <w:rsid w:val="00FB3FE9"/>
    <w:rsid w:val="00FB4321"/>
    <w:rsid w:val="00FC0E69"/>
    <w:rsid w:val="00FC2ABD"/>
    <w:rsid w:val="00FC373A"/>
    <w:rsid w:val="00FD0ABD"/>
    <w:rsid w:val="00FD1DD9"/>
    <w:rsid w:val="00FD721F"/>
    <w:rsid w:val="00FE1319"/>
    <w:rsid w:val="00FE1942"/>
    <w:rsid w:val="00FE65E6"/>
    <w:rsid w:val="00FE7E8D"/>
    <w:rsid w:val="00FF0996"/>
    <w:rsid w:val="00FF0FCF"/>
    <w:rsid w:val="00FF22CC"/>
    <w:rsid w:val="00FF56CE"/>
    <w:rsid w:val="00FF6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64FD8"/>
  <w15:docId w15:val="{9772478F-DB45-4A6B-A40F-C1C7A9D2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FF5"/>
    <w:pPr>
      <w:spacing w:after="0" w:line="240" w:lineRule="auto"/>
      <w:jc w:val="left"/>
    </w:pPr>
    <w:rPr>
      <w:rFonts w:ascii="Cambria" w:eastAsia="Cambria" w:hAnsi="Cambria" w:cs="Times New Roman"/>
      <w:sz w:val="24"/>
      <w:szCs w:val="24"/>
    </w:rPr>
  </w:style>
  <w:style w:type="paragraph" w:styleId="Nagwek1">
    <w:name w:val="heading 1"/>
    <w:basedOn w:val="Normalny"/>
    <w:next w:val="Normalny"/>
    <w:link w:val="Nagwek1Znak"/>
    <w:uiPriority w:val="9"/>
    <w:qFormat/>
    <w:rsid w:val="00D95012"/>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8B279D"/>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550A"/>
    <w:pPr>
      <w:ind w:left="720"/>
      <w:contextualSpacing/>
    </w:pPr>
  </w:style>
  <w:style w:type="paragraph" w:styleId="HTML-wstpniesformatowany">
    <w:name w:val="HTML Preformatted"/>
    <w:basedOn w:val="Normalny"/>
    <w:link w:val="HTML-wstpniesformatowanyZnak"/>
    <w:rsid w:val="0050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50550A"/>
    <w:rPr>
      <w:rFonts w:ascii="Courier New" w:eastAsia="Times New Roman" w:hAnsi="Courier New" w:cs="Courier New"/>
      <w:sz w:val="20"/>
      <w:szCs w:val="20"/>
      <w:lang w:eastAsia="pl-PL"/>
    </w:rPr>
  </w:style>
  <w:style w:type="paragraph" w:styleId="Tekstpodstawowy">
    <w:name w:val="Body Text"/>
    <w:basedOn w:val="Normalny"/>
    <w:link w:val="TekstpodstawowyZnak"/>
    <w:rsid w:val="0039445A"/>
    <w:pPr>
      <w:tabs>
        <w:tab w:val="left" w:pos="540"/>
        <w:tab w:val="left" w:pos="5400"/>
      </w:tabs>
      <w:spacing w:after="120"/>
      <w:jc w:val="both"/>
    </w:pPr>
    <w:rPr>
      <w:rFonts w:ascii="Times New Roman" w:eastAsia="Times New Roman" w:hAnsi="Times New Roman"/>
      <w:lang w:eastAsia="pl-PL"/>
    </w:rPr>
  </w:style>
  <w:style w:type="character" w:customStyle="1" w:styleId="TekstpodstawowyZnak">
    <w:name w:val="Tekst podstawowy Znak"/>
    <w:basedOn w:val="Domylnaczcionkaakapitu"/>
    <w:link w:val="Tekstpodstawowy"/>
    <w:rsid w:val="0039445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4D15"/>
    <w:rPr>
      <w:rFonts w:ascii="Tahoma" w:hAnsi="Tahoma" w:cs="Tahoma"/>
      <w:sz w:val="16"/>
      <w:szCs w:val="16"/>
    </w:rPr>
  </w:style>
  <w:style w:type="character" w:customStyle="1" w:styleId="TekstdymkaZnak">
    <w:name w:val="Tekst dymka Znak"/>
    <w:basedOn w:val="Domylnaczcionkaakapitu"/>
    <w:link w:val="Tekstdymka"/>
    <w:uiPriority w:val="99"/>
    <w:semiHidden/>
    <w:rsid w:val="004D4D15"/>
    <w:rPr>
      <w:rFonts w:ascii="Tahoma" w:eastAsia="Cambria" w:hAnsi="Tahoma" w:cs="Tahoma"/>
      <w:sz w:val="16"/>
      <w:szCs w:val="16"/>
    </w:rPr>
  </w:style>
  <w:style w:type="paragraph" w:styleId="Nagwek">
    <w:name w:val="header"/>
    <w:basedOn w:val="Normalny"/>
    <w:link w:val="NagwekZnak"/>
    <w:uiPriority w:val="99"/>
    <w:unhideWhenUsed/>
    <w:rsid w:val="00B96BBE"/>
    <w:pPr>
      <w:tabs>
        <w:tab w:val="center" w:pos="4536"/>
        <w:tab w:val="right" w:pos="9072"/>
      </w:tabs>
    </w:pPr>
  </w:style>
  <w:style w:type="character" w:customStyle="1" w:styleId="NagwekZnak">
    <w:name w:val="Nagłówek Znak"/>
    <w:basedOn w:val="Domylnaczcionkaakapitu"/>
    <w:link w:val="Nagwek"/>
    <w:uiPriority w:val="99"/>
    <w:rsid w:val="00B96BBE"/>
    <w:rPr>
      <w:rFonts w:ascii="Cambria" w:eastAsia="Cambria" w:hAnsi="Cambria" w:cs="Times New Roman"/>
      <w:sz w:val="24"/>
      <w:szCs w:val="24"/>
    </w:rPr>
  </w:style>
  <w:style w:type="paragraph" w:styleId="Stopka">
    <w:name w:val="footer"/>
    <w:basedOn w:val="Normalny"/>
    <w:link w:val="StopkaZnak"/>
    <w:uiPriority w:val="99"/>
    <w:unhideWhenUsed/>
    <w:rsid w:val="00B96BBE"/>
    <w:pPr>
      <w:tabs>
        <w:tab w:val="center" w:pos="4536"/>
        <w:tab w:val="right" w:pos="9072"/>
      </w:tabs>
    </w:pPr>
  </w:style>
  <w:style w:type="character" w:customStyle="1" w:styleId="StopkaZnak">
    <w:name w:val="Stopka Znak"/>
    <w:basedOn w:val="Domylnaczcionkaakapitu"/>
    <w:link w:val="Stopka"/>
    <w:uiPriority w:val="99"/>
    <w:rsid w:val="00B96BBE"/>
    <w:rPr>
      <w:rFonts w:ascii="Cambria" w:eastAsia="Cambria" w:hAnsi="Cambria" w:cs="Times New Roman"/>
      <w:sz w:val="24"/>
      <w:szCs w:val="24"/>
    </w:rPr>
  </w:style>
  <w:style w:type="character" w:customStyle="1" w:styleId="PKTpunktZnak">
    <w:name w:val="PKT – punkt Znak"/>
    <w:link w:val="PKTpunkt"/>
    <w:uiPriority w:val="16"/>
    <w:locked/>
    <w:rsid w:val="008F2180"/>
    <w:rPr>
      <w:rFonts w:ascii="Times" w:eastAsia="Times New Roman" w:hAnsi="Times" w:cs="Arial"/>
      <w:bCs/>
      <w:sz w:val="24"/>
      <w:lang w:eastAsia="pl-PL"/>
    </w:rPr>
  </w:style>
  <w:style w:type="paragraph" w:customStyle="1" w:styleId="PKTpunkt">
    <w:name w:val="PKT – punkt"/>
    <w:link w:val="PKTpunktZnak"/>
    <w:qFormat/>
    <w:rsid w:val="008F2180"/>
    <w:pPr>
      <w:spacing w:after="0" w:line="360" w:lineRule="auto"/>
      <w:ind w:left="510" w:hanging="510"/>
    </w:pPr>
    <w:rPr>
      <w:rFonts w:ascii="Times" w:eastAsia="Times New Roman" w:hAnsi="Times" w:cs="Arial"/>
      <w:bCs/>
      <w:sz w:val="24"/>
      <w:lang w:eastAsia="pl-PL"/>
    </w:rPr>
  </w:style>
  <w:style w:type="paragraph" w:styleId="Tekstpodstawowy2">
    <w:name w:val="Body Text 2"/>
    <w:basedOn w:val="Normalny"/>
    <w:link w:val="Tekstpodstawowy2Znak"/>
    <w:uiPriority w:val="99"/>
    <w:unhideWhenUsed/>
    <w:rsid w:val="007246AB"/>
    <w:pPr>
      <w:spacing w:after="120" w:line="480" w:lineRule="auto"/>
    </w:pPr>
  </w:style>
  <w:style w:type="character" w:customStyle="1" w:styleId="Tekstpodstawowy2Znak">
    <w:name w:val="Tekst podstawowy 2 Znak"/>
    <w:basedOn w:val="Domylnaczcionkaakapitu"/>
    <w:link w:val="Tekstpodstawowy2"/>
    <w:uiPriority w:val="99"/>
    <w:rsid w:val="007246AB"/>
    <w:rPr>
      <w:rFonts w:ascii="Cambria" w:eastAsia="Cambria" w:hAnsi="Cambria" w:cs="Times New Roman"/>
      <w:sz w:val="24"/>
      <w:szCs w:val="24"/>
    </w:rPr>
  </w:style>
  <w:style w:type="paragraph" w:customStyle="1" w:styleId="USTustnpkodeksu">
    <w:name w:val="UST(§) – ust. (§ np. kodeksu)"/>
    <w:basedOn w:val="Normalny"/>
    <w:uiPriority w:val="12"/>
    <w:qFormat/>
    <w:rsid w:val="00B5219F"/>
    <w:pPr>
      <w:suppressAutoHyphens/>
      <w:autoSpaceDE w:val="0"/>
      <w:autoSpaceDN w:val="0"/>
      <w:adjustRightInd w:val="0"/>
      <w:spacing w:line="360" w:lineRule="auto"/>
      <w:ind w:firstLine="510"/>
      <w:jc w:val="both"/>
    </w:pPr>
    <w:rPr>
      <w:rFonts w:ascii="Times" w:eastAsia="Times New Roman" w:hAnsi="Times" w:cs="Arial"/>
      <w:bCs/>
      <w:szCs w:val="20"/>
      <w:lang w:eastAsia="pl-PL"/>
    </w:rPr>
  </w:style>
  <w:style w:type="paragraph" w:customStyle="1" w:styleId="ARTartustawynprozporzdzenia">
    <w:name w:val="ART(§) – art. ustawy (§ np. rozporządzenia)"/>
    <w:uiPriority w:val="11"/>
    <w:qFormat/>
    <w:rsid w:val="00573FC5"/>
    <w:pPr>
      <w:suppressAutoHyphens/>
      <w:autoSpaceDE w:val="0"/>
      <w:autoSpaceDN w:val="0"/>
      <w:adjustRightInd w:val="0"/>
      <w:spacing w:before="120" w:after="0" w:line="360" w:lineRule="auto"/>
      <w:ind w:firstLine="510"/>
    </w:pPr>
    <w:rPr>
      <w:rFonts w:ascii="Times" w:eastAsiaTheme="minorEastAsia" w:hAnsi="Times" w:cs="Arial"/>
      <w:sz w:val="24"/>
      <w:szCs w:val="20"/>
      <w:lang w:eastAsia="pl-PL"/>
    </w:rPr>
  </w:style>
  <w:style w:type="paragraph" w:customStyle="1" w:styleId="CM4">
    <w:name w:val="CM4"/>
    <w:basedOn w:val="Normalny"/>
    <w:uiPriority w:val="99"/>
    <w:rsid w:val="00BA7E37"/>
    <w:pPr>
      <w:autoSpaceDE w:val="0"/>
      <w:autoSpaceDN w:val="0"/>
    </w:pPr>
    <w:rPr>
      <w:rFonts w:ascii="EUAlbertina" w:eastAsiaTheme="minorHAnsi" w:hAnsi="EUAlbertina"/>
      <w:lang w:eastAsia="pl-PL"/>
    </w:rPr>
  </w:style>
  <w:style w:type="character" w:customStyle="1" w:styleId="Nagwek2Znak">
    <w:name w:val="Nagłówek 2 Znak"/>
    <w:basedOn w:val="Domylnaczcionkaakapitu"/>
    <w:link w:val="Nagwek2"/>
    <w:uiPriority w:val="9"/>
    <w:rsid w:val="008B279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8B279D"/>
    <w:rPr>
      <w:color w:val="0000FF"/>
      <w:u w:val="single"/>
    </w:rPr>
  </w:style>
  <w:style w:type="paragraph" w:customStyle="1" w:styleId="ZUSTzmustartykuempunktem">
    <w:name w:val="Z/UST(§) – zm. ust. (§) artykułem (punktem)"/>
    <w:basedOn w:val="Normalny"/>
    <w:qFormat/>
    <w:rsid w:val="003E7AC2"/>
    <w:pPr>
      <w:suppressAutoHyphens/>
      <w:autoSpaceDE w:val="0"/>
      <w:autoSpaceDN w:val="0"/>
      <w:adjustRightInd w:val="0"/>
      <w:spacing w:line="360" w:lineRule="auto"/>
      <w:ind w:left="510" w:firstLine="510"/>
      <w:jc w:val="both"/>
    </w:pPr>
    <w:rPr>
      <w:rFonts w:ascii="Times" w:eastAsiaTheme="minorEastAsia" w:hAnsi="Times" w:cs="Arial"/>
      <w:szCs w:val="20"/>
      <w:lang w:eastAsia="pl-PL"/>
    </w:rPr>
  </w:style>
  <w:style w:type="paragraph" w:styleId="Tekstprzypisukocowego">
    <w:name w:val="endnote text"/>
    <w:basedOn w:val="Normalny"/>
    <w:link w:val="TekstprzypisukocowegoZnak"/>
    <w:uiPriority w:val="99"/>
    <w:semiHidden/>
    <w:unhideWhenUsed/>
    <w:rsid w:val="00F35886"/>
    <w:rPr>
      <w:sz w:val="20"/>
      <w:szCs w:val="20"/>
    </w:rPr>
  </w:style>
  <w:style w:type="character" w:customStyle="1" w:styleId="TekstprzypisukocowegoZnak">
    <w:name w:val="Tekst przypisu końcowego Znak"/>
    <w:basedOn w:val="Domylnaczcionkaakapitu"/>
    <w:link w:val="Tekstprzypisukocowego"/>
    <w:uiPriority w:val="99"/>
    <w:semiHidden/>
    <w:rsid w:val="00F35886"/>
    <w:rPr>
      <w:rFonts w:ascii="Cambria" w:eastAsia="Cambria" w:hAnsi="Cambria" w:cs="Times New Roman"/>
      <w:sz w:val="20"/>
      <w:szCs w:val="20"/>
    </w:rPr>
  </w:style>
  <w:style w:type="character" w:styleId="Odwoanieprzypisukocowego">
    <w:name w:val="endnote reference"/>
    <w:basedOn w:val="Domylnaczcionkaakapitu"/>
    <w:uiPriority w:val="99"/>
    <w:semiHidden/>
    <w:unhideWhenUsed/>
    <w:rsid w:val="00F35886"/>
    <w:rPr>
      <w:vertAlign w:val="superscript"/>
    </w:rPr>
  </w:style>
  <w:style w:type="paragraph" w:customStyle="1" w:styleId="Default">
    <w:name w:val="Default"/>
    <w:rsid w:val="00901B1C"/>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2775BC"/>
    <w:rPr>
      <w:sz w:val="16"/>
      <w:szCs w:val="16"/>
    </w:rPr>
  </w:style>
  <w:style w:type="paragraph" w:styleId="Tekstkomentarza">
    <w:name w:val="annotation text"/>
    <w:basedOn w:val="Normalny"/>
    <w:link w:val="TekstkomentarzaZnak"/>
    <w:uiPriority w:val="99"/>
    <w:unhideWhenUsed/>
    <w:rsid w:val="002775BC"/>
    <w:rPr>
      <w:sz w:val="20"/>
      <w:szCs w:val="20"/>
    </w:rPr>
  </w:style>
  <w:style w:type="character" w:customStyle="1" w:styleId="TekstkomentarzaZnak">
    <w:name w:val="Tekst komentarza Znak"/>
    <w:basedOn w:val="Domylnaczcionkaakapitu"/>
    <w:link w:val="Tekstkomentarza"/>
    <w:uiPriority w:val="99"/>
    <w:rsid w:val="002775BC"/>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2775BC"/>
    <w:rPr>
      <w:b/>
      <w:bCs/>
    </w:rPr>
  </w:style>
  <w:style w:type="character" w:customStyle="1" w:styleId="TematkomentarzaZnak">
    <w:name w:val="Temat komentarza Znak"/>
    <w:basedOn w:val="TekstkomentarzaZnak"/>
    <w:link w:val="Tematkomentarza"/>
    <w:uiPriority w:val="99"/>
    <w:semiHidden/>
    <w:rsid w:val="002775BC"/>
    <w:rPr>
      <w:rFonts w:ascii="Cambria" w:eastAsia="Cambria" w:hAnsi="Cambria" w:cs="Times New Roman"/>
      <w:b/>
      <w:bCs/>
      <w:sz w:val="20"/>
      <w:szCs w:val="20"/>
    </w:rPr>
  </w:style>
  <w:style w:type="paragraph" w:styleId="Tekstprzypisudolnego">
    <w:name w:val="footnote text"/>
    <w:basedOn w:val="Normalny"/>
    <w:link w:val="TekstprzypisudolnegoZnak"/>
    <w:uiPriority w:val="99"/>
    <w:unhideWhenUsed/>
    <w:qFormat/>
    <w:rsid w:val="0017799C"/>
    <w:rPr>
      <w:sz w:val="20"/>
      <w:szCs w:val="20"/>
    </w:rPr>
  </w:style>
  <w:style w:type="character" w:customStyle="1" w:styleId="TekstprzypisudolnegoZnak">
    <w:name w:val="Tekst przypisu dolnego Znak"/>
    <w:basedOn w:val="Domylnaczcionkaakapitu"/>
    <w:link w:val="Tekstprzypisudolnego"/>
    <w:uiPriority w:val="99"/>
    <w:rsid w:val="0017799C"/>
    <w:rPr>
      <w:rFonts w:ascii="Cambria" w:eastAsia="Cambria" w:hAnsi="Cambria" w:cs="Times New Roman"/>
      <w:sz w:val="20"/>
      <w:szCs w:val="20"/>
    </w:rPr>
  </w:style>
  <w:style w:type="character" w:styleId="Odwoanieprzypisudolnego">
    <w:name w:val="footnote reference"/>
    <w:basedOn w:val="Domylnaczcionkaakapitu"/>
    <w:uiPriority w:val="99"/>
    <w:unhideWhenUsed/>
    <w:qFormat/>
    <w:rsid w:val="0017799C"/>
    <w:rPr>
      <w:vertAlign w:val="superscript"/>
    </w:rPr>
  </w:style>
  <w:style w:type="paragraph" w:customStyle="1" w:styleId="ZLITUSTzmustliter">
    <w:name w:val="Z_LIT/UST(§) – zm. ust. (§) literą"/>
    <w:basedOn w:val="USTustnpkodeksu"/>
    <w:qFormat/>
    <w:rsid w:val="0000741A"/>
    <w:pPr>
      <w:ind w:left="987"/>
    </w:pPr>
    <w:rPr>
      <w:rFonts w:eastAsiaTheme="minorEastAsia"/>
    </w:rPr>
  </w:style>
  <w:style w:type="character" w:customStyle="1" w:styleId="Ppogrubienie">
    <w:name w:val="_P_ – pogrubienie"/>
    <w:basedOn w:val="Domylnaczcionkaakapitu"/>
    <w:uiPriority w:val="1"/>
    <w:qFormat/>
    <w:rsid w:val="00E670F5"/>
    <w:rPr>
      <w:b/>
    </w:rPr>
  </w:style>
  <w:style w:type="paragraph" w:customStyle="1" w:styleId="ZARTzmartartykuempunktem">
    <w:name w:val="Z/ART(§) – zm. art. (§) artykułem (punktem)"/>
    <w:basedOn w:val="ARTartustawynprozporzdzenia"/>
    <w:qFormat/>
    <w:rsid w:val="00557993"/>
    <w:pPr>
      <w:spacing w:before="0"/>
      <w:ind w:left="510"/>
    </w:pPr>
  </w:style>
  <w:style w:type="paragraph" w:styleId="Zwykytekst">
    <w:name w:val="Plain Text"/>
    <w:basedOn w:val="Normalny"/>
    <w:link w:val="ZwykytekstZnak"/>
    <w:uiPriority w:val="99"/>
    <w:semiHidden/>
    <w:unhideWhenUsed/>
    <w:rsid w:val="005002B4"/>
    <w:rPr>
      <w:rFonts w:ascii="Calibri" w:eastAsiaTheme="minorHAnsi" w:hAnsi="Calibri" w:cs="Calibri"/>
      <w:sz w:val="22"/>
      <w:szCs w:val="22"/>
    </w:rPr>
  </w:style>
  <w:style w:type="character" w:customStyle="1" w:styleId="ZwykytekstZnak">
    <w:name w:val="Zwykły tekst Znak"/>
    <w:basedOn w:val="Domylnaczcionkaakapitu"/>
    <w:link w:val="Zwykytekst"/>
    <w:uiPriority w:val="99"/>
    <w:semiHidden/>
    <w:rsid w:val="005002B4"/>
    <w:rPr>
      <w:rFonts w:ascii="Calibri" w:hAnsi="Calibri" w:cs="Calibri"/>
    </w:rPr>
  </w:style>
  <w:style w:type="paragraph" w:customStyle="1" w:styleId="LITlitera">
    <w:name w:val="LIT – litera"/>
    <w:basedOn w:val="PKTpunkt"/>
    <w:qFormat/>
    <w:rsid w:val="00705478"/>
    <w:pPr>
      <w:ind w:left="986" w:hanging="476"/>
    </w:pPr>
    <w:rPr>
      <w:rFonts w:eastAsiaTheme="minorEastAsia"/>
      <w:szCs w:val="20"/>
    </w:rPr>
  </w:style>
  <w:style w:type="paragraph" w:styleId="Poprawka">
    <w:name w:val="Revision"/>
    <w:hidden/>
    <w:uiPriority w:val="99"/>
    <w:semiHidden/>
    <w:rsid w:val="00335C4D"/>
    <w:pPr>
      <w:spacing w:after="0" w:line="240" w:lineRule="auto"/>
      <w:jc w:val="left"/>
    </w:pPr>
    <w:rPr>
      <w:rFonts w:ascii="Cambria" w:eastAsia="Cambria" w:hAnsi="Cambria" w:cs="Times New Roman"/>
      <w:sz w:val="24"/>
      <w:szCs w:val="24"/>
    </w:rPr>
  </w:style>
  <w:style w:type="character" w:customStyle="1" w:styleId="Nagwek1Znak">
    <w:name w:val="Nagłówek 1 Znak"/>
    <w:basedOn w:val="Domylnaczcionkaakapitu"/>
    <w:link w:val="Nagwek1"/>
    <w:uiPriority w:val="9"/>
    <w:rsid w:val="00D95012"/>
    <w:rPr>
      <w:rFonts w:asciiTheme="majorHAnsi" w:eastAsiaTheme="majorEastAsia" w:hAnsiTheme="majorHAnsi" w:cstheme="majorBidi"/>
      <w:color w:val="365F91" w:themeColor="accent1" w:themeShade="BF"/>
      <w:sz w:val="32"/>
      <w:szCs w:val="32"/>
    </w:rPr>
  </w:style>
  <w:style w:type="numbering" w:customStyle="1" w:styleId="Bezlisty1">
    <w:name w:val="Bez listy1"/>
    <w:next w:val="Bezlisty"/>
    <w:uiPriority w:val="99"/>
    <w:semiHidden/>
    <w:unhideWhenUsed/>
    <w:rsid w:val="00D95012"/>
  </w:style>
  <w:style w:type="character" w:customStyle="1" w:styleId="IGindeksgrny">
    <w:name w:val="_IG_ – indeks górny"/>
    <w:basedOn w:val="Domylnaczcionkaakapitu"/>
    <w:uiPriority w:val="2"/>
    <w:qFormat/>
    <w:rsid w:val="00D95012"/>
    <w:rPr>
      <w:b w:val="0"/>
      <w:i w:val="0"/>
      <w:vanish w:val="0"/>
      <w:spacing w:val="0"/>
      <w:vertAlign w:val="superscript"/>
    </w:rPr>
  </w:style>
  <w:style w:type="paragraph" w:customStyle="1" w:styleId="ZPKTzmpktartykuempunktem">
    <w:name w:val="Z/PKT – zm. pkt artykułem (punktem)"/>
    <w:basedOn w:val="Normalny"/>
    <w:uiPriority w:val="31"/>
    <w:qFormat/>
    <w:rsid w:val="00D95012"/>
    <w:pPr>
      <w:spacing w:line="360" w:lineRule="auto"/>
      <w:ind w:left="1020" w:hanging="510"/>
      <w:jc w:val="both"/>
    </w:pPr>
    <w:rPr>
      <w:rFonts w:ascii="Times" w:eastAsiaTheme="minorEastAsia" w:hAnsi="Times" w:cs="Arial"/>
      <w:bCs/>
      <w:szCs w:val="20"/>
    </w:rPr>
  </w:style>
  <w:style w:type="paragraph" w:customStyle="1" w:styleId="OZNPROJEKTUwskazaniedatylubwersjiprojektu">
    <w:name w:val="OZN_PROJEKTU – wskazanie daty lub wersji projektu"/>
    <w:next w:val="Normalny"/>
    <w:uiPriority w:val="5"/>
    <w:qFormat/>
    <w:rsid w:val="00D95012"/>
    <w:pPr>
      <w:spacing w:after="0" w:line="360" w:lineRule="auto"/>
      <w:jc w:val="right"/>
    </w:pPr>
    <w:rPr>
      <w:rFonts w:ascii="Times New Roman" w:eastAsia="Times New Roman" w:hAnsi="Times New Roman" w:cs="Arial"/>
      <w:sz w:val="24"/>
      <w:szCs w:val="20"/>
      <w:u w:val="single"/>
      <w:lang w:eastAsia="pl-PL"/>
    </w:rPr>
  </w:style>
  <w:style w:type="paragraph" w:customStyle="1" w:styleId="ZCZWSPTIRwPKTzmczciwsptirwpktartykuempunktem">
    <w:name w:val="Z/CZ_WSP_TIR_w_PKT – zm. części wsp. tir. w pkt artykułem (punktem)"/>
    <w:basedOn w:val="Normalny"/>
    <w:next w:val="ZPKTzmpktartykuempunktem"/>
    <w:uiPriority w:val="36"/>
    <w:qFormat/>
    <w:rsid w:val="00D95012"/>
    <w:pPr>
      <w:spacing w:line="360" w:lineRule="auto"/>
      <w:ind w:left="1497"/>
      <w:jc w:val="both"/>
    </w:pPr>
    <w:rPr>
      <w:rFonts w:ascii="Times" w:eastAsiaTheme="minorEastAsia" w:hAnsi="Times" w:cs="Arial"/>
      <w:bCs/>
      <w:szCs w:val="20"/>
      <w:lang w:eastAsia="pl-PL"/>
    </w:rPr>
  </w:style>
  <w:style w:type="character" w:customStyle="1" w:styleId="Kkursywa">
    <w:name w:val="_K_ – kursywa"/>
    <w:basedOn w:val="Domylnaczcionkaakapitu"/>
    <w:uiPriority w:val="1"/>
    <w:qFormat/>
    <w:rsid w:val="00D95012"/>
    <w:rPr>
      <w:i/>
    </w:rPr>
  </w:style>
  <w:style w:type="paragraph" w:styleId="NormalnyWeb">
    <w:name w:val="Normal (Web)"/>
    <w:basedOn w:val="Normalny"/>
    <w:uiPriority w:val="99"/>
    <w:unhideWhenUsed/>
    <w:rsid w:val="00D95012"/>
    <w:pPr>
      <w:spacing w:before="100" w:beforeAutospacing="1" w:after="100" w:afterAutospacing="1"/>
    </w:pPr>
    <w:rPr>
      <w:rFonts w:ascii="Times New Roman" w:eastAsia="Times New Roman" w:hAnsi="Times New Roman"/>
      <w:lang w:eastAsia="pl-PL"/>
    </w:rPr>
  </w:style>
  <w:style w:type="paragraph" w:customStyle="1" w:styleId="ZLITzmlitartykuempunktem">
    <w:name w:val="Z/LIT – zm. lit. artykułem (punktem)"/>
    <w:basedOn w:val="Normalny"/>
    <w:uiPriority w:val="32"/>
    <w:qFormat/>
    <w:rsid w:val="00D95012"/>
    <w:pPr>
      <w:spacing w:line="360" w:lineRule="auto"/>
      <w:ind w:left="986" w:hanging="476"/>
      <w:jc w:val="both"/>
    </w:pPr>
    <w:rPr>
      <w:rFonts w:ascii="Times" w:eastAsiaTheme="minorEastAsia" w:hAnsi="Times" w:cs="Arial"/>
      <w:bCs/>
      <w:szCs w:val="20"/>
      <w:lang w:eastAsia="pl-PL"/>
    </w:rPr>
  </w:style>
  <w:style w:type="paragraph" w:customStyle="1" w:styleId="ZLITPKTzmpktliter">
    <w:name w:val="Z_LIT/PKT – zm. pkt literą"/>
    <w:basedOn w:val="Normalny"/>
    <w:qFormat/>
    <w:rsid w:val="00D95012"/>
    <w:pPr>
      <w:spacing w:line="360" w:lineRule="auto"/>
      <w:ind w:left="1497" w:hanging="510"/>
      <w:jc w:val="both"/>
    </w:pPr>
    <w:rPr>
      <w:rFonts w:ascii="Times" w:eastAsiaTheme="minorEastAsia" w:hAnsi="Times" w:cs="Arial"/>
      <w:bCs/>
      <w:szCs w:val="20"/>
      <w:lang w:eastAsia="pl-PL"/>
    </w:rPr>
  </w:style>
  <w:style w:type="paragraph" w:customStyle="1" w:styleId="ZLITARTzmartliter">
    <w:name w:val="Z_LIT/ART(§) – zm. art. (§) literą"/>
    <w:basedOn w:val="ZLITUSTzmustliter"/>
    <w:uiPriority w:val="46"/>
    <w:qFormat/>
    <w:rsid w:val="00D95012"/>
    <w:rPr>
      <w:rFonts w:ascii="Times New Roman" w:hAnsi="Times New Roman"/>
    </w:rPr>
  </w:style>
  <w:style w:type="character" w:styleId="Uwydatnienie">
    <w:name w:val="Emphasis"/>
    <w:basedOn w:val="Domylnaczcionkaakapitu"/>
    <w:uiPriority w:val="20"/>
    <w:qFormat/>
    <w:rsid w:val="00126D1E"/>
    <w:rPr>
      <w:i/>
      <w:iCs/>
    </w:rPr>
  </w:style>
  <w:style w:type="paragraph" w:customStyle="1" w:styleId="TIRtiret">
    <w:name w:val="TIR – tiret"/>
    <w:basedOn w:val="LITlitera"/>
    <w:qFormat/>
    <w:rsid w:val="00C51AB0"/>
    <w:pPr>
      <w:ind w:left="1384" w:hanging="397"/>
    </w:pPr>
  </w:style>
  <w:style w:type="paragraph" w:customStyle="1" w:styleId="ZTIRFRAGMzmnpwprdowyliczeniatiret">
    <w:name w:val="Z_TIR/FRAGM – zm. np. wpr. do wyliczenia tiret"/>
    <w:basedOn w:val="Normalny"/>
    <w:next w:val="TIRtiret"/>
    <w:qFormat/>
    <w:rsid w:val="00C51AB0"/>
    <w:pPr>
      <w:spacing w:line="360" w:lineRule="auto"/>
      <w:ind w:left="1383"/>
      <w:jc w:val="both"/>
    </w:pPr>
    <w:rPr>
      <w:rFonts w:ascii="Times New Roman" w:eastAsiaTheme="minorEastAsia" w:hAnsi="Times New Roman" w:cs="Arial"/>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199">
      <w:bodyDiv w:val="1"/>
      <w:marLeft w:val="0"/>
      <w:marRight w:val="0"/>
      <w:marTop w:val="0"/>
      <w:marBottom w:val="0"/>
      <w:divBdr>
        <w:top w:val="none" w:sz="0" w:space="0" w:color="auto"/>
        <w:left w:val="none" w:sz="0" w:space="0" w:color="auto"/>
        <w:bottom w:val="none" w:sz="0" w:space="0" w:color="auto"/>
        <w:right w:val="none" w:sz="0" w:space="0" w:color="auto"/>
      </w:divBdr>
    </w:div>
    <w:div w:id="89161263">
      <w:bodyDiv w:val="1"/>
      <w:marLeft w:val="0"/>
      <w:marRight w:val="0"/>
      <w:marTop w:val="0"/>
      <w:marBottom w:val="0"/>
      <w:divBdr>
        <w:top w:val="none" w:sz="0" w:space="0" w:color="auto"/>
        <w:left w:val="none" w:sz="0" w:space="0" w:color="auto"/>
        <w:bottom w:val="none" w:sz="0" w:space="0" w:color="auto"/>
        <w:right w:val="none" w:sz="0" w:space="0" w:color="auto"/>
      </w:divBdr>
      <w:divsChild>
        <w:div w:id="1583757211">
          <w:marLeft w:val="0"/>
          <w:marRight w:val="0"/>
          <w:marTop w:val="0"/>
          <w:marBottom w:val="0"/>
          <w:divBdr>
            <w:top w:val="none" w:sz="0" w:space="0" w:color="auto"/>
            <w:left w:val="none" w:sz="0" w:space="0" w:color="auto"/>
            <w:bottom w:val="none" w:sz="0" w:space="0" w:color="auto"/>
            <w:right w:val="none" w:sz="0" w:space="0" w:color="auto"/>
          </w:divBdr>
        </w:div>
        <w:div w:id="1300648655">
          <w:marLeft w:val="0"/>
          <w:marRight w:val="0"/>
          <w:marTop w:val="0"/>
          <w:marBottom w:val="0"/>
          <w:divBdr>
            <w:top w:val="none" w:sz="0" w:space="0" w:color="auto"/>
            <w:left w:val="none" w:sz="0" w:space="0" w:color="auto"/>
            <w:bottom w:val="none" w:sz="0" w:space="0" w:color="auto"/>
            <w:right w:val="none" w:sz="0" w:space="0" w:color="auto"/>
          </w:divBdr>
        </w:div>
        <w:div w:id="1890220701">
          <w:marLeft w:val="0"/>
          <w:marRight w:val="0"/>
          <w:marTop w:val="0"/>
          <w:marBottom w:val="0"/>
          <w:divBdr>
            <w:top w:val="none" w:sz="0" w:space="0" w:color="auto"/>
            <w:left w:val="none" w:sz="0" w:space="0" w:color="auto"/>
            <w:bottom w:val="none" w:sz="0" w:space="0" w:color="auto"/>
            <w:right w:val="none" w:sz="0" w:space="0" w:color="auto"/>
          </w:divBdr>
        </w:div>
        <w:div w:id="2097362072">
          <w:marLeft w:val="0"/>
          <w:marRight w:val="0"/>
          <w:marTop w:val="0"/>
          <w:marBottom w:val="0"/>
          <w:divBdr>
            <w:top w:val="none" w:sz="0" w:space="0" w:color="auto"/>
            <w:left w:val="none" w:sz="0" w:space="0" w:color="auto"/>
            <w:bottom w:val="none" w:sz="0" w:space="0" w:color="auto"/>
            <w:right w:val="none" w:sz="0" w:space="0" w:color="auto"/>
          </w:divBdr>
        </w:div>
        <w:div w:id="985206157">
          <w:marLeft w:val="0"/>
          <w:marRight w:val="0"/>
          <w:marTop w:val="0"/>
          <w:marBottom w:val="0"/>
          <w:divBdr>
            <w:top w:val="none" w:sz="0" w:space="0" w:color="auto"/>
            <w:left w:val="none" w:sz="0" w:space="0" w:color="auto"/>
            <w:bottom w:val="none" w:sz="0" w:space="0" w:color="auto"/>
            <w:right w:val="none" w:sz="0" w:space="0" w:color="auto"/>
          </w:divBdr>
        </w:div>
        <w:div w:id="1734035670">
          <w:marLeft w:val="0"/>
          <w:marRight w:val="0"/>
          <w:marTop w:val="0"/>
          <w:marBottom w:val="0"/>
          <w:divBdr>
            <w:top w:val="none" w:sz="0" w:space="0" w:color="auto"/>
            <w:left w:val="none" w:sz="0" w:space="0" w:color="auto"/>
            <w:bottom w:val="none" w:sz="0" w:space="0" w:color="auto"/>
            <w:right w:val="none" w:sz="0" w:space="0" w:color="auto"/>
          </w:divBdr>
        </w:div>
        <w:div w:id="1684284672">
          <w:marLeft w:val="0"/>
          <w:marRight w:val="0"/>
          <w:marTop w:val="0"/>
          <w:marBottom w:val="0"/>
          <w:divBdr>
            <w:top w:val="none" w:sz="0" w:space="0" w:color="auto"/>
            <w:left w:val="none" w:sz="0" w:space="0" w:color="auto"/>
            <w:bottom w:val="none" w:sz="0" w:space="0" w:color="auto"/>
            <w:right w:val="none" w:sz="0" w:space="0" w:color="auto"/>
          </w:divBdr>
        </w:div>
        <w:div w:id="1944919162">
          <w:marLeft w:val="0"/>
          <w:marRight w:val="0"/>
          <w:marTop w:val="0"/>
          <w:marBottom w:val="0"/>
          <w:divBdr>
            <w:top w:val="none" w:sz="0" w:space="0" w:color="auto"/>
            <w:left w:val="none" w:sz="0" w:space="0" w:color="auto"/>
            <w:bottom w:val="none" w:sz="0" w:space="0" w:color="auto"/>
            <w:right w:val="none" w:sz="0" w:space="0" w:color="auto"/>
          </w:divBdr>
        </w:div>
        <w:div w:id="203636484">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1459445218">
          <w:marLeft w:val="0"/>
          <w:marRight w:val="0"/>
          <w:marTop w:val="0"/>
          <w:marBottom w:val="0"/>
          <w:divBdr>
            <w:top w:val="none" w:sz="0" w:space="0" w:color="auto"/>
            <w:left w:val="none" w:sz="0" w:space="0" w:color="auto"/>
            <w:bottom w:val="none" w:sz="0" w:space="0" w:color="auto"/>
            <w:right w:val="none" w:sz="0" w:space="0" w:color="auto"/>
          </w:divBdr>
        </w:div>
        <w:div w:id="1005089567">
          <w:marLeft w:val="0"/>
          <w:marRight w:val="0"/>
          <w:marTop w:val="0"/>
          <w:marBottom w:val="0"/>
          <w:divBdr>
            <w:top w:val="none" w:sz="0" w:space="0" w:color="auto"/>
            <w:left w:val="none" w:sz="0" w:space="0" w:color="auto"/>
            <w:bottom w:val="none" w:sz="0" w:space="0" w:color="auto"/>
            <w:right w:val="none" w:sz="0" w:space="0" w:color="auto"/>
          </w:divBdr>
        </w:div>
        <w:div w:id="492182855">
          <w:marLeft w:val="0"/>
          <w:marRight w:val="0"/>
          <w:marTop w:val="0"/>
          <w:marBottom w:val="0"/>
          <w:divBdr>
            <w:top w:val="none" w:sz="0" w:space="0" w:color="auto"/>
            <w:left w:val="none" w:sz="0" w:space="0" w:color="auto"/>
            <w:bottom w:val="none" w:sz="0" w:space="0" w:color="auto"/>
            <w:right w:val="none" w:sz="0" w:space="0" w:color="auto"/>
          </w:divBdr>
        </w:div>
        <w:div w:id="1181161021">
          <w:marLeft w:val="0"/>
          <w:marRight w:val="0"/>
          <w:marTop w:val="0"/>
          <w:marBottom w:val="0"/>
          <w:divBdr>
            <w:top w:val="none" w:sz="0" w:space="0" w:color="auto"/>
            <w:left w:val="none" w:sz="0" w:space="0" w:color="auto"/>
            <w:bottom w:val="none" w:sz="0" w:space="0" w:color="auto"/>
            <w:right w:val="none" w:sz="0" w:space="0" w:color="auto"/>
          </w:divBdr>
        </w:div>
        <w:div w:id="892275245">
          <w:marLeft w:val="0"/>
          <w:marRight w:val="0"/>
          <w:marTop w:val="0"/>
          <w:marBottom w:val="0"/>
          <w:divBdr>
            <w:top w:val="none" w:sz="0" w:space="0" w:color="auto"/>
            <w:left w:val="none" w:sz="0" w:space="0" w:color="auto"/>
            <w:bottom w:val="none" w:sz="0" w:space="0" w:color="auto"/>
            <w:right w:val="none" w:sz="0" w:space="0" w:color="auto"/>
          </w:divBdr>
        </w:div>
        <w:div w:id="1639914082">
          <w:marLeft w:val="0"/>
          <w:marRight w:val="0"/>
          <w:marTop w:val="0"/>
          <w:marBottom w:val="0"/>
          <w:divBdr>
            <w:top w:val="none" w:sz="0" w:space="0" w:color="auto"/>
            <w:left w:val="none" w:sz="0" w:space="0" w:color="auto"/>
            <w:bottom w:val="none" w:sz="0" w:space="0" w:color="auto"/>
            <w:right w:val="none" w:sz="0" w:space="0" w:color="auto"/>
          </w:divBdr>
        </w:div>
        <w:div w:id="873999030">
          <w:marLeft w:val="0"/>
          <w:marRight w:val="0"/>
          <w:marTop w:val="0"/>
          <w:marBottom w:val="0"/>
          <w:divBdr>
            <w:top w:val="none" w:sz="0" w:space="0" w:color="auto"/>
            <w:left w:val="none" w:sz="0" w:space="0" w:color="auto"/>
            <w:bottom w:val="none" w:sz="0" w:space="0" w:color="auto"/>
            <w:right w:val="none" w:sz="0" w:space="0" w:color="auto"/>
          </w:divBdr>
        </w:div>
        <w:div w:id="777526816">
          <w:marLeft w:val="0"/>
          <w:marRight w:val="0"/>
          <w:marTop w:val="0"/>
          <w:marBottom w:val="0"/>
          <w:divBdr>
            <w:top w:val="none" w:sz="0" w:space="0" w:color="auto"/>
            <w:left w:val="none" w:sz="0" w:space="0" w:color="auto"/>
            <w:bottom w:val="none" w:sz="0" w:space="0" w:color="auto"/>
            <w:right w:val="none" w:sz="0" w:space="0" w:color="auto"/>
          </w:divBdr>
        </w:div>
        <w:div w:id="1193572852">
          <w:marLeft w:val="0"/>
          <w:marRight w:val="0"/>
          <w:marTop w:val="0"/>
          <w:marBottom w:val="0"/>
          <w:divBdr>
            <w:top w:val="none" w:sz="0" w:space="0" w:color="auto"/>
            <w:left w:val="none" w:sz="0" w:space="0" w:color="auto"/>
            <w:bottom w:val="none" w:sz="0" w:space="0" w:color="auto"/>
            <w:right w:val="none" w:sz="0" w:space="0" w:color="auto"/>
          </w:divBdr>
        </w:div>
        <w:div w:id="945230205">
          <w:marLeft w:val="0"/>
          <w:marRight w:val="0"/>
          <w:marTop w:val="0"/>
          <w:marBottom w:val="0"/>
          <w:divBdr>
            <w:top w:val="none" w:sz="0" w:space="0" w:color="auto"/>
            <w:left w:val="none" w:sz="0" w:space="0" w:color="auto"/>
            <w:bottom w:val="none" w:sz="0" w:space="0" w:color="auto"/>
            <w:right w:val="none" w:sz="0" w:space="0" w:color="auto"/>
          </w:divBdr>
        </w:div>
        <w:div w:id="1964535631">
          <w:marLeft w:val="0"/>
          <w:marRight w:val="0"/>
          <w:marTop w:val="0"/>
          <w:marBottom w:val="0"/>
          <w:divBdr>
            <w:top w:val="none" w:sz="0" w:space="0" w:color="auto"/>
            <w:left w:val="none" w:sz="0" w:space="0" w:color="auto"/>
            <w:bottom w:val="none" w:sz="0" w:space="0" w:color="auto"/>
            <w:right w:val="none" w:sz="0" w:space="0" w:color="auto"/>
          </w:divBdr>
        </w:div>
        <w:div w:id="1677804315">
          <w:marLeft w:val="0"/>
          <w:marRight w:val="0"/>
          <w:marTop w:val="0"/>
          <w:marBottom w:val="0"/>
          <w:divBdr>
            <w:top w:val="none" w:sz="0" w:space="0" w:color="auto"/>
            <w:left w:val="none" w:sz="0" w:space="0" w:color="auto"/>
            <w:bottom w:val="none" w:sz="0" w:space="0" w:color="auto"/>
            <w:right w:val="none" w:sz="0" w:space="0" w:color="auto"/>
          </w:divBdr>
        </w:div>
        <w:div w:id="40635287">
          <w:marLeft w:val="0"/>
          <w:marRight w:val="0"/>
          <w:marTop w:val="0"/>
          <w:marBottom w:val="0"/>
          <w:divBdr>
            <w:top w:val="none" w:sz="0" w:space="0" w:color="auto"/>
            <w:left w:val="none" w:sz="0" w:space="0" w:color="auto"/>
            <w:bottom w:val="none" w:sz="0" w:space="0" w:color="auto"/>
            <w:right w:val="none" w:sz="0" w:space="0" w:color="auto"/>
          </w:divBdr>
        </w:div>
        <w:div w:id="793062513">
          <w:marLeft w:val="0"/>
          <w:marRight w:val="0"/>
          <w:marTop w:val="0"/>
          <w:marBottom w:val="0"/>
          <w:divBdr>
            <w:top w:val="none" w:sz="0" w:space="0" w:color="auto"/>
            <w:left w:val="none" w:sz="0" w:space="0" w:color="auto"/>
            <w:bottom w:val="none" w:sz="0" w:space="0" w:color="auto"/>
            <w:right w:val="none" w:sz="0" w:space="0" w:color="auto"/>
          </w:divBdr>
        </w:div>
        <w:div w:id="2120105824">
          <w:marLeft w:val="0"/>
          <w:marRight w:val="0"/>
          <w:marTop w:val="0"/>
          <w:marBottom w:val="0"/>
          <w:divBdr>
            <w:top w:val="none" w:sz="0" w:space="0" w:color="auto"/>
            <w:left w:val="none" w:sz="0" w:space="0" w:color="auto"/>
            <w:bottom w:val="none" w:sz="0" w:space="0" w:color="auto"/>
            <w:right w:val="none" w:sz="0" w:space="0" w:color="auto"/>
          </w:divBdr>
        </w:div>
        <w:div w:id="1480540504">
          <w:marLeft w:val="0"/>
          <w:marRight w:val="0"/>
          <w:marTop w:val="0"/>
          <w:marBottom w:val="0"/>
          <w:divBdr>
            <w:top w:val="none" w:sz="0" w:space="0" w:color="auto"/>
            <w:left w:val="none" w:sz="0" w:space="0" w:color="auto"/>
            <w:bottom w:val="none" w:sz="0" w:space="0" w:color="auto"/>
            <w:right w:val="none" w:sz="0" w:space="0" w:color="auto"/>
          </w:divBdr>
        </w:div>
        <w:div w:id="1430927044">
          <w:marLeft w:val="0"/>
          <w:marRight w:val="0"/>
          <w:marTop w:val="0"/>
          <w:marBottom w:val="0"/>
          <w:divBdr>
            <w:top w:val="none" w:sz="0" w:space="0" w:color="auto"/>
            <w:left w:val="none" w:sz="0" w:space="0" w:color="auto"/>
            <w:bottom w:val="none" w:sz="0" w:space="0" w:color="auto"/>
            <w:right w:val="none" w:sz="0" w:space="0" w:color="auto"/>
          </w:divBdr>
        </w:div>
        <w:div w:id="663171296">
          <w:marLeft w:val="0"/>
          <w:marRight w:val="0"/>
          <w:marTop w:val="0"/>
          <w:marBottom w:val="0"/>
          <w:divBdr>
            <w:top w:val="none" w:sz="0" w:space="0" w:color="auto"/>
            <w:left w:val="none" w:sz="0" w:space="0" w:color="auto"/>
            <w:bottom w:val="none" w:sz="0" w:space="0" w:color="auto"/>
            <w:right w:val="none" w:sz="0" w:space="0" w:color="auto"/>
          </w:divBdr>
        </w:div>
        <w:div w:id="362049634">
          <w:marLeft w:val="0"/>
          <w:marRight w:val="0"/>
          <w:marTop w:val="0"/>
          <w:marBottom w:val="0"/>
          <w:divBdr>
            <w:top w:val="none" w:sz="0" w:space="0" w:color="auto"/>
            <w:left w:val="none" w:sz="0" w:space="0" w:color="auto"/>
            <w:bottom w:val="none" w:sz="0" w:space="0" w:color="auto"/>
            <w:right w:val="none" w:sz="0" w:space="0" w:color="auto"/>
          </w:divBdr>
        </w:div>
        <w:div w:id="384716721">
          <w:marLeft w:val="0"/>
          <w:marRight w:val="0"/>
          <w:marTop w:val="0"/>
          <w:marBottom w:val="0"/>
          <w:divBdr>
            <w:top w:val="none" w:sz="0" w:space="0" w:color="auto"/>
            <w:left w:val="none" w:sz="0" w:space="0" w:color="auto"/>
            <w:bottom w:val="none" w:sz="0" w:space="0" w:color="auto"/>
            <w:right w:val="none" w:sz="0" w:space="0" w:color="auto"/>
          </w:divBdr>
        </w:div>
        <w:div w:id="1469930562">
          <w:marLeft w:val="0"/>
          <w:marRight w:val="0"/>
          <w:marTop w:val="0"/>
          <w:marBottom w:val="0"/>
          <w:divBdr>
            <w:top w:val="none" w:sz="0" w:space="0" w:color="auto"/>
            <w:left w:val="none" w:sz="0" w:space="0" w:color="auto"/>
            <w:bottom w:val="none" w:sz="0" w:space="0" w:color="auto"/>
            <w:right w:val="none" w:sz="0" w:space="0" w:color="auto"/>
          </w:divBdr>
        </w:div>
        <w:div w:id="53091664">
          <w:marLeft w:val="0"/>
          <w:marRight w:val="0"/>
          <w:marTop w:val="0"/>
          <w:marBottom w:val="0"/>
          <w:divBdr>
            <w:top w:val="none" w:sz="0" w:space="0" w:color="auto"/>
            <w:left w:val="none" w:sz="0" w:space="0" w:color="auto"/>
            <w:bottom w:val="none" w:sz="0" w:space="0" w:color="auto"/>
            <w:right w:val="none" w:sz="0" w:space="0" w:color="auto"/>
          </w:divBdr>
        </w:div>
        <w:div w:id="312876952">
          <w:marLeft w:val="0"/>
          <w:marRight w:val="0"/>
          <w:marTop w:val="0"/>
          <w:marBottom w:val="0"/>
          <w:divBdr>
            <w:top w:val="none" w:sz="0" w:space="0" w:color="auto"/>
            <w:left w:val="none" w:sz="0" w:space="0" w:color="auto"/>
            <w:bottom w:val="none" w:sz="0" w:space="0" w:color="auto"/>
            <w:right w:val="none" w:sz="0" w:space="0" w:color="auto"/>
          </w:divBdr>
        </w:div>
        <w:div w:id="630329871">
          <w:marLeft w:val="0"/>
          <w:marRight w:val="0"/>
          <w:marTop w:val="0"/>
          <w:marBottom w:val="0"/>
          <w:divBdr>
            <w:top w:val="none" w:sz="0" w:space="0" w:color="auto"/>
            <w:left w:val="none" w:sz="0" w:space="0" w:color="auto"/>
            <w:bottom w:val="none" w:sz="0" w:space="0" w:color="auto"/>
            <w:right w:val="none" w:sz="0" w:space="0" w:color="auto"/>
          </w:divBdr>
        </w:div>
        <w:div w:id="1716928390">
          <w:marLeft w:val="0"/>
          <w:marRight w:val="0"/>
          <w:marTop w:val="0"/>
          <w:marBottom w:val="0"/>
          <w:divBdr>
            <w:top w:val="none" w:sz="0" w:space="0" w:color="auto"/>
            <w:left w:val="none" w:sz="0" w:space="0" w:color="auto"/>
            <w:bottom w:val="none" w:sz="0" w:space="0" w:color="auto"/>
            <w:right w:val="none" w:sz="0" w:space="0" w:color="auto"/>
          </w:divBdr>
        </w:div>
        <w:div w:id="211354796">
          <w:marLeft w:val="0"/>
          <w:marRight w:val="0"/>
          <w:marTop w:val="0"/>
          <w:marBottom w:val="0"/>
          <w:divBdr>
            <w:top w:val="none" w:sz="0" w:space="0" w:color="auto"/>
            <w:left w:val="none" w:sz="0" w:space="0" w:color="auto"/>
            <w:bottom w:val="none" w:sz="0" w:space="0" w:color="auto"/>
            <w:right w:val="none" w:sz="0" w:space="0" w:color="auto"/>
          </w:divBdr>
        </w:div>
        <w:div w:id="1102993408">
          <w:marLeft w:val="0"/>
          <w:marRight w:val="0"/>
          <w:marTop w:val="0"/>
          <w:marBottom w:val="0"/>
          <w:divBdr>
            <w:top w:val="none" w:sz="0" w:space="0" w:color="auto"/>
            <w:left w:val="none" w:sz="0" w:space="0" w:color="auto"/>
            <w:bottom w:val="none" w:sz="0" w:space="0" w:color="auto"/>
            <w:right w:val="none" w:sz="0" w:space="0" w:color="auto"/>
          </w:divBdr>
        </w:div>
        <w:div w:id="145781439">
          <w:marLeft w:val="0"/>
          <w:marRight w:val="0"/>
          <w:marTop w:val="0"/>
          <w:marBottom w:val="0"/>
          <w:divBdr>
            <w:top w:val="none" w:sz="0" w:space="0" w:color="auto"/>
            <w:left w:val="none" w:sz="0" w:space="0" w:color="auto"/>
            <w:bottom w:val="none" w:sz="0" w:space="0" w:color="auto"/>
            <w:right w:val="none" w:sz="0" w:space="0" w:color="auto"/>
          </w:divBdr>
        </w:div>
        <w:div w:id="591665855">
          <w:marLeft w:val="0"/>
          <w:marRight w:val="0"/>
          <w:marTop w:val="0"/>
          <w:marBottom w:val="0"/>
          <w:divBdr>
            <w:top w:val="none" w:sz="0" w:space="0" w:color="auto"/>
            <w:left w:val="none" w:sz="0" w:space="0" w:color="auto"/>
            <w:bottom w:val="none" w:sz="0" w:space="0" w:color="auto"/>
            <w:right w:val="none" w:sz="0" w:space="0" w:color="auto"/>
          </w:divBdr>
        </w:div>
        <w:div w:id="798494335">
          <w:marLeft w:val="0"/>
          <w:marRight w:val="0"/>
          <w:marTop w:val="0"/>
          <w:marBottom w:val="0"/>
          <w:divBdr>
            <w:top w:val="none" w:sz="0" w:space="0" w:color="auto"/>
            <w:left w:val="none" w:sz="0" w:space="0" w:color="auto"/>
            <w:bottom w:val="none" w:sz="0" w:space="0" w:color="auto"/>
            <w:right w:val="none" w:sz="0" w:space="0" w:color="auto"/>
          </w:divBdr>
        </w:div>
        <w:div w:id="797720251">
          <w:marLeft w:val="0"/>
          <w:marRight w:val="0"/>
          <w:marTop w:val="0"/>
          <w:marBottom w:val="0"/>
          <w:divBdr>
            <w:top w:val="none" w:sz="0" w:space="0" w:color="auto"/>
            <w:left w:val="none" w:sz="0" w:space="0" w:color="auto"/>
            <w:bottom w:val="none" w:sz="0" w:space="0" w:color="auto"/>
            <w:right w:val="none" w:sz="0" w:space="0" w:color="auto"/>
          </w:divBdr>
        </w:div>
        <w:div w:id="662126338">
          <w:marLeft w:val="0"/>
          <w:marRight w:val="0"/>
          <w:marTop w:val="0"/>
          <w:marBottom w:val="0"/>
          <w:divBdr>
            <w:top w:val="none" w:sz="0" w:space="0" w:color="auto"/>
            <w:left w:val="none" w:sz="0" w:space="0" w:color="auto"/>
            <w:bottom w:val="none" w:sz="0" w:space="0" w:color="auto"/>
            <w:right w:val="none" w:sz="0" w:space="0" w:color="auto"/>
          </w:divBdr>
        </w:div>
        <w:div w:id="1307973737">
          <w:marLeft w:val="0"/>
          <w:marRight w:val="0"/>
          <w:marTop w:val="0"/>
          <w:marBottom w:val="0"/>
          <w:divBdr>
            <w:top w:val="none" w:sz="0" w:space="0" w:color="auto"/>
            <w:left w:val="none" w:sz="0" w:space="0" w:color="auto"/>
            <w:bottom w:val="none" w:sz="0" w:space="0" w:color="auto"/>
            <w:right w:val="none" w:sz="0" w:space="0" w:color="auto"/>
          </w:divBdr>
        </w:div>
        <w:div w:id="1950234427">
          <w:marLeft w:val="0"/>
          <w:marRight w:val="0"/>
          <w:marTop w:val="0"/>
          <w:marBottom w:val="0"/>
          <w:divBdr>
            <w:top w:val="none" w:sz="0" w:space="0" w:color="auto"/>
            <w:left w:val="none" w:sz="0" w:space="0" w:color="auto"/>
            <w:bottom w:val="none" w:sz="0" w:space="0" w:color="auto"/>
            <w:right w:val="none" w:sz="0" w:space="0" w:color="auto"/>
          </w:divBdr>
        </w:div>
        <w:div w:id="1708991679">
          <w:marLeft w:val="0"/>
          <w:marRight w:val="0"/>
          <w:marTop w:val="0"/>
          <w:marBottom w:val="0"/>
          <w:divBdr>
            <w:top w:val="none" w:sz="0" w:space="0" w:color="auto"/>
            <w:left w:val="none" w:sz="0" w:space="0" w:color="auto"/>
            <w:bottom w:val="none" w:sz="0" w:space="0" w:color="auto"/>
            <w:right w:val="none" w:sz="0" w:space="0" w:color="auto"/>
          </w:divBdr>
        </w:div>
        <w:div w:id="1252738904">
          <w:marLeft w:val="0"/>
          <w:marRight w:val="0"/>
          <w:marTop w:val="0"/>
          <w:marBottom w:val="0"/>
          <w:divBdr>
            <w:top w:val="none" w:sz="0" w:space="0" w:color="auto"/>
            <w:left w:val="none" w:sz="0" w:space="0" w:color="auto"/>
            <w:bottom w:val="none" w:sz="0" w:space="0" w:color="auto"/>
            <w:right w:val="none" w:sz="0" w:space="0" w:color="auto"/>
          </w:divBdr>
        </w:div>
        <w:div w:id="723987648">
          <w:marLeft w:val="0"/>
          <w:marRight w:val="0"/>
          <w:marTop w:val="0"/>
          <w:marBottom w:val="0"/>
          <w:divBdr>
            <w:top w:val="none" w:sz="0" w:space="0" w:color="auto"/>
            <w:left w:val="none" w:sz="0" w:space="0" w:color="auto"/>
            <w:bottom w:val="none" w:sz="0" w:space="0" w:color="auto"/>
            <w:right w:val="none" w:sz="0" w:space="0" w:color="auto"/>
          </w:divBdr>
        </w:div>
        <w:div w:id="1418215356">
          <w:marLeft w:val="0"/>
          <w:marRight w:val="0"/>
          <w:marTop w:val="0"/>
          <w:marBottom w:val="0"/>
          <w:divBdr>
            <w:top w:val="none" w:sz="0" w:space="0" w:color="auto"/>
            <w:left w:val="none" w:sz="0" w:space="0" w:color="auto"/>
            <w:bottom w:val="none" w:sz="0" w:space="0" w:color="auto"/>
            <w:right w:val="none" w:sz="0" w:space="0" w:color="auto"/>
          </w:divBdr>
        </w:div>
        <w:div w:id="998771400">
          <w:marLeft w:val="0"/>
          <w:marRight w:val="0"/>
          <w:marTop w:val="0"/>
          <w:marBottom w:val="0"/>
          <w:divBdr>
            <w:top w:val="none" w:sz="0" w:space="0" w:color="auto"/>
            <w:left w:val="none" w:sz="0" w:space="0" w:color="auto"/>
            <w:bottom w:val="none" w:sz="0" w:space="0" w:color="auto"/>
            <w:right w:val="none" w:sz="0" w:space="0" w:color="auto"/>
          </w:divBdr>
        </w:div>
        <w:div w:id="933320926">
          <w:marLeft w:val="0"/>
          <w:marRight w:val="0"/>
          <w:marTop w:val="0"/>
          <w:marBottom w:val="0"/>
          <w:divBdr>
            <w:top w:val="none" w:sz="0" w:space="0" w:color="auto"/>
            <w:left w:val="none" w:sz="0" w:space="0" w:color="auto"/>
            <w:bottom w:val="none" w:sz="0" w:space="0" w:color="auto"/>
            <w:right w:val="none" w:sz="0" w:space="0" w:color="auto"/>
          </w:divBdr>
        </w:div>
        <w:div w:id="1554152617">
          <w:marLeft w:val="0"/>
          <w:marRight w:val="0"/>
          <w:marTop w:val="0"/>
          <w:marBottom w:val="0"/>
          <w:divBdr>
            <w:top w:val="none" w:sz="0" w:space="0" w:color="auto"/>
            <w:left w:val="none" w:sz="0" w:space="0" w:color="auto"/>
            <w:bottom w:val="none" w:sz="0" w:space="0" w:color="auto"/>
            <w:right w:val="none" w:sz="0" w:space="0" w:color="auto"/>
          </w:divBdr>
        </w:div>
        <w:div w:id="278151724">
          <w:marLeft w:val="0"/>
          <w:marRight w:val="0"/>
          <w:marTop w:val="0"/>
          <w:marBottom w:val="0"/>
          <w:divBdr>
            <w:top w:val="none" w:sz="0" w:space="0" w:color="auto"/>
            <w:left w:val="none" w:sz="0" w:space="0" w:color="auto"/>
            <w:bottom w:val="none" w:sz="0" w:space="0" w:color="auto"/>
            <w:right w:val="none" w:sz="0" w:space="0" w:color="auto"/>
          </w:divBdr>
        </w:div>
        <w:div w:id="763959231">
          <w:marLeft w:val="0"/>
          <w:marRight w:val="0"/>
          <w:marTop w:val="0"/>
          <w:marBottom w:val="0"/>
          <w:divBdr>
            <w:top w:val="none" w:sz="0" w:space="0" w:color="auto"/>
            <w:left w:val="none" w:sz="0" w:space="0" w:color="auto"/>
            <w:bottom w:val="none" w:sz="0" w:space="0" w:color="auto"/>
            <w:right w:val="none" w:sz="0" w:space="0" w:color="auto"/>
          </w:divBdr>
        </w:div>
        <w:div w:id="2059239399">
          <w:marLeft w:val="0"/>
          <w:marRight w:val="0"/>
          <w:marTop w:val="0"/>
          <w:marBottom w:val="0"/>
          <w:divBdr>
            <w:top w:val="none" w:sz="0" w:space="0" w:color="auto"/>
            <w:left w:val="none" w:sz="0" w:space="0" w:color="auto"/>
            <w:bottom w:val="none" w:sz="0" w:space="0" w:color="auto"/>
            <w:right w:val="none" w:sz="0" w:space="0" w:color="auto"/>
          </w:divBdr>
        </w:div>
        <w:div w:id="1882591130">
          <w:marLeft w:val="0"/>
          <w:marRight w:val="0"/>
          <w:marTop w:val="0"/>
          <w:marBottom w:val="0"/>
          <w:divBdr>
            <w:top w:val="none" w:sz="0" w:space="0" w:color="auto"/>
            <w:left w:val="none" w:sz="0" w:space="0" w:color="auto"/>
            <w:bottom w:val="none" w:sz="0" w:space="0" w:color="auto"/>
            <w:right w:val="none" w:sz="0" w:space="0" w:color="auto"/>
          </w:divBdr>
        </w:div>
        <w:div w:id="399060957">
          <w:marLeft w:val="0"/>
          <w:marRight w:val="0"/>
          <w:marTop w:val="0"/>
          <w:marBottom w:val="0"/>
          <w:divBdr>
            <w:top w:val="none" w:sz="0" w:space="0" w:color="auto"/>
            <w:left w:val="none" w:sz="0" w:space="0" w:color="auto"/>
            <w:bottom w:val="none" w:sz="0" w:space="0" w:color="auto"/>
            <w:right w:val="none" w:sz="0" w:space="0" w:color="auto"/>
          </w:divBdr>
        </w:div>
        <w:div w:id="900482374">
          <w:marLeft w:val="0"/>
          <w:marRight w:val="0"/>
          <w:marTop w:val="0"/>
          <w:marBottom w:val="0"/>
          <w:divBdr>
            <w:top w:val="none" w:sz="0" w:space="0" w:color="auto"/>
            <w:left w:val="none" w:sz="0" w:space="0" w:color="auto"/>
            <w:bottom w:val="none" w:sz="0" w:space="0" w:color="auto"/>
            <w:right w:val="none" w:sz="0" w:space="0" w:color="auto"/>
          </w:divBdr>
        </w:div>
        <w:div w:id="872763792">
          <w:marLeft w:val="0"/>
          <w:marRight w:val="0"/>
          <w:marTop w:val="0"/>
          <w:marBottom w:val="0"/>
          <w:divBdr>
            <w:top w:val="none" w:sz="0" w:space="0" w:color="auto"/>
            <w:left w:val="none" w:sz="0" w:space="0" w:color="auto"/>
            <w:bottom w:val="none" w:sz="0" w:space="0" w:color="auto"/>
            <w:right w:val="none" w:sz="0" w:space="0" w:color="auto"/>
          </w:divBdr>
        </w:div>
        <w:div w:id="338390316">
          <w:marLeft w:val="0"/>
          <w:marRight w:val="0"/>
          <w:marTop w:val="0"/>
          <w:marBottom w:val="0"/>
          <w:divBdr>
            <w:top w:val="none" w:sz="0" w:space="0" w:color="auto"/>
            <w:left w:val="none" w:sz="0" w:space="0" w:color="auto"/>
            <w:bottom w:val="none" w:sz="0" w:space="0" w:color="auto"/>
            <w:right w:val="none" w:sz="0" w:space="0" w:color="auto"/>
          </w:divBdr>
        </w:div>
        <w:div w:id="1255551607">
          <w:marLeft w:val="0"/>
          <w:marRight w:val="0"/>
          <w:marTop w:val="0"/>
          <w:marBottom w:val="0"/>
          <w:divBdr>
            <w:top w:val="none" w:sz="0" w:space="0" w:color="auto"/>
            <w:left w:val="none" w:sz="0" w:space="0" w:color="auto"/>
            <w:bottom w:val="none" w:sz="0" w:space="0" w:color="auto"/>
            <w:right w:val="none" w:sz="0" w:space="0" w:color="auto"/>
          </w:divBdr>
        </w:div>
        <w:div w:id="530261293">
          <w:marLeft w:val="0"/>
          <w:marRight w:val="0"/>
          <w:marTop w:val="0"/>
          <w:marBottom w:val="0"/>
          <w:divBdr>
            <w:top w:val="none" w:sz="0" w:space="0" w:color="auto"/>
            <w:left w:val="none" w:sz="0" w:space="0" w:color="auto"/>
            <w:bottom w:val="none" w:sz="0" w:space="0" w:color="auto"/>
            <w:right w:val="none" w:sz="0" w:space="0" w:color="auto"/>
          </w:divBdr>
        </w:div>
        <w:div w:id="1170682205">
          <w:marLeft w:val="0"/>
          <w:marRight w:val="0"/>
          <w:marTop w:val="0"/>
          <w:marBottom w:val="0"/>
          <w:divBdr>
            <w:top w:val="none" w:sz="0" w:space="0" w:color="auto"/>
            <w:left w:val="none" w:sz="0" w:space="0" w:color="auto"/>
            <w:bottom w:val="none" w:sz="0" w:space="0" w:color="auto"/>
            <w:right w:val="none" w:sz="0" w:space="0" w:color="auto"/>
          </w:divBdr>
        </w:div>
        <w:div w:id="1663387855">
          <w:marLeft w:val="0"/>
          <w:marRight w:val="0"/>
          <w:marTop w:val="0"/>
          <w:marBottom w:val="0"/>
          <w:divBdr>
            <w:top w:val="none" w:sz="0" w:space="0" w:color="auto"/>
            <w:left w:val="none" w:sz="0" w:space="0" w:color="auto"/>
            <w:bottom w:val="none" w:sz="0" w:space="0" w:color="auto"/>
            <w:right w:val="none" w:sz="0" w:space="0" w:color="auto"/>
          </w:divBdr>
        </w:div>
        <w:div w:id="1072199945">
          <w:marLeft w:val="0"/>
          <w:marRight w:val="0"/>
          <w:marTop w:val="0"/>
          <w:marBottom w:val="0"/>
          <w:divBdr>
            <w:top w:val="none" w:sz="0" w:space="0" w:color="auto"/>
            <w:left w:val="none" w:sz="0" w:space="0" w:color="auto"/>
            <w:bottom w:val="none" w:sz="0" w:space="0" w:color="auto"/>
            <w:right w:val="none" w:sz="0" w:space="0" w:color="auto"/>
          </w:divBdr>
        </w:div>
        <w:div w:id="2090423346">
          <w:marLeft w:val="0"/>
          <w:marRight w:val="0"/>
          <w:marTop w:val="0"/>
          <w:marBottom w:val="0"/>
          <w:divBdr>
            <w:top w:val="none" w:sz="0" w:space="0" w:color="auto"/>
            <w:left w:val="none" w:sz="0" w:space="0" w:color="auto"/>
            <w:bottom w:val="none" w:sz="0" w:space="0" w:color="auto"/>
            <w:right w:val="none" w:sz="0" w:space="0" w:color="auto"/>
          </w:divBdr>
        </w:div>
        <w:div w:id="709694033">
          <w:marLeft w:val="0"/>
          <w:marRight w:val="0"/>
          <w:marTop w:val="0"/>
          <w:marBottom w:val="0"/>
          <w:divBdr>
            <w:top w:val="none" w:sz="0" w:space="0" w:color="auto"/>
            <w:left w:val="none" w:sz="0" w:space="0" w:color="auto"/>
            <w:bottom w:val="none" w:sz="0" w:space="0" w:color="auto"/>
            <w:right w:val="none" w:sz="0" w:space="0" w:color="auto"/>
          </w:divBdr>
        </w:div>
        <w:div w:id="946156215">
          <w:marLeft w:val="0"/>
          <w:marRight w:val="0"/>
          <w:marTop w:val="0"/>
          <w:marBottom w:val="0"/>
          <w:divBdr>
            <w:top w:val="none" w:sz="0" w:space="0" w:color="auto"/>
            <w:left w:val="none" w:sz="0" w:space="0" w:color="auto"/>
            <w:bottom w:val="none" w:sz="0" w:space="0" w:color="auto"/>
            <w:right w:val="none" w:sz="0" w:space="0" w:color="auto"/>
          </w:divBdr>
        </w:div>
        <w:div w:id="819426680">
          <w:marLeft w:val="0"/>
          <w:marRight w:val="0"/>
          <w:marTop w:val="0"/>
          <w:marBottom w:val="0"/>
          <w:divBdr>
            <w:top w:val="none" w:sz="0" w:space="0" w:color="auto"/>
            <w:left w:val="none" w:sz="0" w:space="0" w:color="auto"/>
            <w:bottom w:val="none" w:sz="0" w:space="0" w:color="auto"/>
            <w:right w:val="none" w:sz="0" w:space="0" w:color="auto"/>
          </w:divBdr>
        </w:div>
        <w:div w:id="622224401">
          <w:marLeft w:val="0"/>
          <w:marRight w:val="0"/>
          <w:marTop w:val="0"/>
          <w:marBottom w:val="0"/>
          <w:divBdr>
            <w:top w:val="none" w:sz="0" w:space="0" w:color="auto"/>
            <w:left w:val="none" w:sz="0" w:space="0" w:color="auto"/>
            <w:bottom w:val="none" w:sz="0" w:space="0" w:color="auto"/>
            <w:right w:val="none" w:sz="0" w:space="0" w:color="auto"/>
          </w:divBdr>
        </w:div>
        <w:div w:id="30808865">
          <w:marLeft w:val="0"/>
          <w:marRight w:val="0"/>
          <w:marTop w:val="0"/>
          <w:marBottom w:val="0"/>
          <w:divBdr>
            <w:top w:val="none" w:sz="0" w:space="0" w:color="auto"/>
            <w:left w:val="none" w:sz="0" w:space="0" w:color="auto"/>
            <w:bottom w:val="none" w:sz="0" w:space="0" w:color="auto"/>
            <w:right w:val="none" w:sz="0" w:space="0" w:color="auto"/>
          </w:divBdr>
        </w:div>
        <w:div w:id="1430738805">
          <w:marLeft w:val="0"/>
          <w:marRight w:val="0"/>
          <w:marTop w:val="0"/>
          <w:marBottom w:val="0"/>
          <w:divBdr>
            <w:top w:val="none" w:sz="0" w:space="0" w:color="auto"/>
            <w:left w:val="none" w:sz="0" w:space="0" w:color="auto"/>
            <w:bottom w:val="none" w:sz="0" w:space="0" w:color="auto"/>
            <w:right w:val="none" w:sz="0" w:space="0" w:color="auto"/>
          </w:divBdr>
        </w:div>
        <w:div w:id="1064572900">
          <w:marLeft w:val="0"/>
          <w:marRight w:val="0"/>
          <w:marTop w:val="0"/>
          <w:marBottom w:val="0"/>
          <w:divBdr>
            <w:top w:val="none" w:sz="0" w:space="0" w:color="auto"/>
            <w:left w:val="none" w:sz="0" w:space="0" w:color="auto"/>
            <w:bottom w:val="none" w:sz="0" w:space="0" w:color="auto"/>
            <w:right w:val="none" w:sz="0" w:space="0" w:color="auto"/>
          </w:divBdr>
        </w:div>
        <w:div w:id="633951064">
          <w:marLeft w:val="0"/>
          <w:marRight w:val="0"/>
          <w:marTop w:val="0"/>
          <w:marBottom w:val="0"/>
          <w:divBdr>
            <w:top w:val="none" w:sz="0" w:space="0" w:color="auto"/>
            <w:left w:val="none" w:sz="0" w:space="0" w:color="auto"/>
            <w:bottom w:val="none" w:sz="0" w:space="0" w:color="auto"/>
            <w:right w:val="none" w:sz="0" w:space="0" w:color="auto"/>
          </w:divBdr>
        </w:div>
        <w:div w:id="1720324209">
          <w:marLeft w:val="0"/>
          <w:marRight w:val="0"/>
          <w:marTop w:val="0"/>
          <w:marBottom w:val="0"/>
          <w:divBdr>
            <w:top w:val="none" w:sz="0" w:space="0" w:color="auto"/>
            <w:left w:val="none" w:sz="0" w:space="0" w:color="auto"/>
            <w:bottom w:val="none" w:sz="0" w:space="0" w:color="auto"/>
            <w:right w:val="none" w:sz="0" w:space="0" w:color="auto"/>
          </w:divBdr>
        </w:div>
        <w:div w:id="1020594361">
          <w:marLeft w:val="0"/>
          <w:marRight w:val="0"/>
          <w:marTop w:val="0"/>
          <w:marBottom w:val="0"/>
          <w:divBdr>
            <w:top w:val="none" w:sz="0" w:space="0" w:color="auto"/>
            <w:left w:val="none" w:sz="0" w:space="0" w:color="auto"/>
            <w:bottom w:val="none" w:sz="0" w:space="0" w:color="auto"/>
            <w:right w:val="none" w:sz="0" w:space="0" w:color="auto"/>
          </w:divBdr>
        </w:div>
        <w:div w:id="562452025">
          <w:marLeft w:val="0"/>
          <w:marRight w:val="0"/>
          <w:marTop w:val="0"/>
          <w:marBottom w:val="0"/>
          <w:divBdr>
            <w:top w:val="none" w:sz="0" w:space="0" w:color="auto"/>
            <w:left w:val="none" w:sz="0" w:space="0" w:color="auto"/>
            <w:bottom w:val="none" w:sz="0" w:space="0" w:color="auto"/>
            <w:right w:val="none" w:sz="0" w:space="0" w:color="auto"/>
          </w:divBdr>
        </w:div>
        <w:div w:id="1968385970">
          <w:marLeft w:val="0"/>
          <w:marRight w:val="0"/>
          <w:marTop w:val="0"/>
          <w:marBottom w:val="0"/>
          <w:divBdr>
            <w:top w:val="none" w:sz="0" w:space="0" w:color="auto"/>
            <w:left w:val="none" w:sz="0" w:space="0" w:color="auto"/>
            <w:bottom w:val="none" w:sz="0" w:space="0" w:color="auto"/>
            <w:right w:val="none" w:sz="0" w:space="0" w:color="auto"/>
          </w:divBdr>
        </w:div>
        <w:div w:id="1499425802">
          <w:marLeft w:val="0"/>
          <w:marRight w:val="0"/>
          <w:marTop w:val="0"/>
          <w:marBottom w:val="0"/>
          <w:divBdr>
            <w:top w:val="none" w:sz="0" w:space="0" w:color="auto"/>
            <w:left w:val="none" w:sz="0" w:space="0" w:color="auto"/>
            <w:bottom w:val="none" w:sz="0" w:space="0" w:color="auto"/>
            <w:right w:val="none" w:sz="0" w:space="0" w:color="auto"/>
          </w:divBdr>
        </w:div>
        <w:div w:id="1453865096">
          <w:marLeft w:val="0"/>
          <w:marRight w:val="0"/>
          <w:marTop w:val="0"/>
          <w:marBottom w:val="0"/>
          <w:divBdr>
            <w:top w:val="none" w:sz="0" w:space="0" w:color="auto"/>
            <w:left w:val="none" w:sz="0" w:space="0" w:color="auto"/>
            <w:bottom w:val="none" w:sz="0" w:space="0" w:color="auto"/>
            <w:right w:val="none" w:sz="0" w:space="0" w:color="auto"/>
          </w:divBdr>
        </w:div>
        <w:div w:id="1208026118">
          <w:marLeft w:val="0"/>
          <w:marRight w:val="0"/>
          <w:marTop w:val="0"/>
          <w:marBottom w:val="0"/>
          <w:divBdr>
            <w:top w:val="none" w:sz="0" w:space="0" w:color="auto"/>
            <w:left w:val="none" w:sz="0" w:space="0" w:color="auto"/>
            <w:bottom w:val="none" w:sz="0" w:space="0" w:color="auto"/>
            <w:right w:val="none" w:sz="0" w:space="0" w:color="auto"/>
          </w:divBdr>
        </w:div>
        <w:div w:id="1492983709">
          <w:marLeft w:val="0"/>
          <w:marRight w:val="0"/>
          <w:marTop w:val="0"/>
          <w:marBottom w:val="0"/>
          <w:divBdr>
            <w:top w:val="none" w:sz="0" w:space="0" w:color="auto"/>
            <w:left w:val="none" w:sz="0" w:space="0" w:color="auto"/>
            <w:bottom w:val="none" w:sz="0" w:space="0" w:color="auto"/>
            <w:right w:val="none" w:sz="0" w:space="0" w:color="auto"/>
          </w:divBdr>
        </w:div>
        <w:div w:id="1776289009">
          <w:marLeft w:val="0"/>
          <w:marRight w:val="0"/>
          <w:marTop w:val="0"/>
          <w:marBottom w:val="0"/>
          <w:divBdr>
            <w:top w:val="none" w:sz="0" w:space="0" w:color="auto"/>
            <w:left w:val="none" w:sz="0" w:space="0" w:color="auto"/>
            <w:bottom w:val="none" w:sz="0" w:space="0" w:color="auto"/>
            <w:right w:val="none" w:sz="0" w:space="0" w:color="auto"/>
          </w:divBdr>
        </w:div>
        <w:div w:id="169030231">
          <w:marLeft w:val="0"/>
          <w:marRight w:val="0"/>
          <w:marTop w:val="0"/>
          <w:marBottom w:val="0"/>
          <w:divBdr>
            <w:top w:val="none" w:sz="0" w:space="0" w:color="auto"/>
            <w:left w:val="none" w:sz="0" w:space="0" w:color="auto"/>
            <w:bottom w:val="none" w:sz="0" w:space="0" w:color="auto"/>
            <w:right w:val="none" w:sz="0" w:space="0" w:color="auto"/>
          </w:divBdr>
        </w:div>
        <w:div w:id="1341010421">
          <w:marLeft w:val="0"/>
          <w:marRight w:val="0"/>
          <w:marTop w:val="0"/>
          <w:marBottom w:val="0"/>
          <w:divBdr>
            <w:top w:val="none" w:sz="0" w:space="0" w:color="auto"/>
            <w:left w:val="none" w:sz="0" w:space="0" w:color="auto"/>
            <w:bottom w:val="none" w:sz="0" w:space="0" w:color="auto"/>
            <w:right w:val="none" w:sz="0" w:space="0" w:color="auto"/>
          </w:divBdr>
        </w:div>
        <w:div w:id="346492845">
          <w:marLeft w:val="0"/>
          <w:marRight w:val="0"/>
          <w:marTop w:val="0"/>
          <w:marBottom w:val="0"/>
          <w:divBdr>
            <w:top w:val="none" w:sz="0" w:space="0" w:color="auto"/>
            <w:left w:val="none" w:sz="0" w:space="0" w:color="auto"/>
            <w:bottom w:val="none" w:sz="0" w:space="0" w:color="auto"/>
            <w:right w:val="none" w:sz="0" w:space="0" w:color="auto"/>
          </w:divBdr>
        </w:div>
        <w:div w:id="1531380324">
          <w:marLeft w:val="0"/>
          <w:marRight w:val="0"/>
          <w:marTop w:val="0"/>
          <w:marBottom w:val="0"/>
          <w:divBdr>
            <w:top w:val="none" w:sz="0" w:space="0" w:color="auto"/>
            <w:left w:val="none" w:sz="0" w:space="0" w:color="auto"/>
            <w:bottom w:val="none" w:sz="0" w:space="0" w:color="auto"/>
            <w:right w:val="none" w:sz="0" w:space="0" w:color="auto"/>
          </w:divBdr>
        </w:div>
        <w:div w:id="757679408">
          <w:marLeft w:val="0"/>
          <w:marRight w:val="0"/>
          <w:marTop w:val="0"/>
          <w:marBottom w:val="0"/>
          <w:divBdr>
            <w:top w:val="none" w:sz="0" w:space="0" w:color="auto"/>
            <w:left w:val="none" w:sz="0" w:space="0" w:color="auto"/>
            <w:bottom w:val="none" w:sz="0" w:space="0" w:color="auto"/>
            <w:right w:val="none" w:sz="0" w:space="0" w:color="auto"/>
          </w:divBdr>
        </w:div>
        <w:div w:id="1359894124">
          <w:marLeft w:val="0"/>
          <w:marRight w:val="0"/>
          <w:marTop w:val="0"/>
          <w:marBottom w:val="0"/>
          <w:divBdr>
            <w:top w:val="none" w:sz="0" w:space="0" w:color="auto"/>
            <w:left w:val="none" w:sz="0" w:space="0" w:color="auto"/>
            <w:bottom w:val="none" w:sz="0" w:space="0" w:color="auto"/>
            <w:right w:val="none" w:sz="0" w:space="0" w:color="auto"/>
          </w:divBdr>
        </w:div>
        <w:div w:id="176701049">
          <w:marLeft w:val="0"/>
          <w:marRight w:val="0"/>
          <w:marTop w:val="0"/>
          <w:marBottom w:val="0"/>
          <w:divBdr>
            <w:top w:val="none" w:sz="0" w:space="0" w:color="auto"/>
            <w:left w:val="none" w:sz="0" w:space="0" w:color="auto"/>
            <w:bottom w:val="none" w:sz="0" w:space="0" w:color="auto"/>
            <w:right w:val="none" w:sz="0" w:space="0" w:color="auto"/>
          </w:divBdr>
        </w:div>
        <w:div w:id="1429960295">
          <w:marLeft w:val="0"/>
          <w:marRight w:val="0"/>
          <w:marTop w:val="0"/>
          <w:marBottom w:val="0"/>
          <w:divBdr>
            <w:top w:val="none" w:sz="0" w:space="0" w:color="auto"/>
            <w:left w:val="none" w:sz="0" w:space="0" w:color="auto"/>
            <w:bottom w:val="none" w:sz="0" w:space="0" w:color="auto"/>
            <w:right w:val="none" w:sz="0" w:space="0" w:color="auto"/>
          </w:divBdr>
        </w:div>
        <w:div w:id="103116932">
          <w:marLeft w:val="0"/>
          <w:marRight w:val="0"/>
          <w:marTop w:val="0"/>
          <w:marBottom w:val="0"/>
          <w:divBdr>
            <w:top w:val="none" w:sz="0" w:space="0" w:color="auto"/>
            <w:left w:val="none" w:sz="0" w:space="0" w:color="auto"/>
            <w:bottom w:val="none" w:sz="0" w:space="0" w:color="auto"/>
            <w:right w:val="none" w:sz="0" w:space="0" w:color="auto"/>
          </w:divBdr>
        </w:div>
        <w:div w:id="457799018">
          <w:marLeft w:val="0"/>
          <w:marRight w:val="0"/>
          <w:marTop w:val="0"/>
          <w:marBottom w:val="0"/>
          <w:divBdr>
            <w:top w:val="none" w:sz="0" w:space="0" w:color="auto"/>
            <w:left w:val="none" w:sz="0" w:space="0" w:color="auto"/>
            <w:bottom w:val="none" w:sz="0" w:space="0" w:color="auto"/>
            <w:right w:val="none" w:sz="0" w:space="0" w:color="auto"/>
          </w:divBdr>
        </w:div>
        <w:div w:id="407001650">
          <w:marLeft w:val="0"/>
          <w:marRight w:val="0"/>
          <w:marTop w:val="0"/>
          <w:marBottom w:val="0"/>
          <w:divBdr>
            <w:top w:val="none" w:sz="0" w:space="0" w:color="auto"/>
            <w:left w:val="none" w:sz="0" w:space="0" w:color="auto"/>
            <w:bottom w:val="none" w:sz="0" w:space="0" w:color="auto"/>
            <w:right w:val="none" w:sz="0" w:space="0" w:color="auto"/>
          </w:divBdr>
        </w:div>
        <w:div w:id="1154445722">
          <w:marLeft w:val="0"/>
          <w:marRight w:val="0"/>
          <w:marTop w:val="0"/>
          <w:marBottom w:val="0"/>
          <w:divBdr>
            <w:top w:val="none" w:sz="0" w:space="0" w:color="auto"/>
            <w:left w:val="none" w:sz="0" w:space="0" w:color="auto"/>
            <w:bottom w:val="none" w:sz="0" w:space="0" w:color="auto"/>
            <w:right w:val="none" w:sz="0" w:space="0" w:color="auto"/>
          </w:divBdr>
        </w:div>
        <w:div w:id="1360204358">
          <w:marLeft w:val="0"/>
          <w:marRight w:val="0"/>
          <w:marTop w:val="0"/>
          <w:marBottom w:val="0"/>
          <w:divBdr>
            <w:top w:val="none" w:sz="0" w:space="0" w:color="auto"/>
            <w:left w:val="none" w:sz="0" w:space="0" w:color="auto"/>
            <w:bottom w:val="none" w:sz="0" w:space="0" w:color="auto"/>
            <w:right w:val="none" w:sz="0" w:space="0" w:color="auto"/>
          </w:divBdr>
        </w:div>
        <w:div w:id="126826189">
          <w:marLeft w:val="0"/>
          <w:marRight w:val="0"/>
          <w:marTop w:val="0"/>
          <w:marBottom w:val="0"/>
          <w:divBdr>
            <w:top w:val="none" w:sz="0" w:space="0" w:color="auto"/>
            <w:left w:val="none" w:sz="0" w:space="0" w:color="auto"/>
            <w:bottom w:val="none" w:sz="0" w:space="0" w:color="auto"/>
            <w:right w:val="none" w:sz="0" w:space="0" w:color="auto"/>
          </w:divBdr>
        </w:div>
        <w:div w:id="1732000469">
          <w:marLeft w:val="0"/>
          <w:marRight w:val="0"/>
          <w:marTop w:val="0"/>
          <w:marBottom w:val="0"/>
          <w:divBdr>
            <w:top w:val="none" w:sz="0" w:space="0" w:color="auto"/>
            <w:left w:val="none" w:sz="0" w:space="0" w:color="auto"/>
            <w:bottom w:val="none" w:sz="0" w:space="0" w:color="auto"/>
            <w:right w:val="none" w:sz="0" w:space="0" w:color="auto"/>
          </w:divBdr>
        </w:div>
        <w:div w:id="593710784">
          <w:marLeft w:val="0"/>
          <w:marRight w:val="0"/>
          <w:marTop w:val="0"/>
          <w:marBottom w:val="0"/>
          <w:divBdr>
            <w:top w:val="none" w:sz="0" w:space="0" w:color="auto"/>
            <w:left w:val="none" w:sz="0" w:space="0" w:color="auto"/>
            <w:bottom w:val="none" w:sz="0" w:space="0" w:color="auto"/>
            <w:right w:val="none" w:sz="0" w:space="0" w:color="auto"/>
          </w:divBdr>
        </w:div>
        <w:div w:id="969750730">
          <w:marLeft w:val="0"/>
          <w:marRight w:val="0"/>
          <w:marTop w:val="0"/>
          <w:marBottom w:val="0"/>
          <w:divBdr>
            <w:top w:val="none" w:sz="0" w:space="0" w:color="auto"/>
            <w:left w:val="none" w:sz="0" w:space="0" w:color="auto"/>
            <w:bottom w:val="none" w:sz="0" w:space="0" w:color="auto"/>
            <w:right w:val="none" w:sz="0" w:space="0" w:color="auto"/>
          </w:divBdr>
        </w:div>
        <w:div w:id="1108893407">
          <w:marLeft w:val="0"/>
          <w:marRight w:val="0"/>
          <w:marTop w:val="0"/>
          <w:marBottom w:val="0"/>
          <w:divBdr>
            <w:top w:val="none" w:sz="0" w:space="0" w:color="auto"/>
            <w:left w:val="none" w:sz="0" w:space="0" w:color="auto"/>
            <w:bottom w:val="none" w:sz="0" w:space="0" w:color="auto"/>
            <w:right w:val="none" w:sz="0" w:space="0" w:color="auto"/>
          </w:divBdr>
        </w:div>
        <w:div w:id="830830389">
          <w:marLeft w:val="0"/>
          <w:marRight w:val="0"/>
          <w:marTop w:val="0"/>
          <w:marBottom w:val="0"/>
          <w:divBdr>
            <w:top w:val="none" w:sz="0" w:space="0" w:color="auto"/>
            <w:left w:val="none" w:sz="0" w:space="0" w:color="auto"/>
            <w:bottom w:val="none" w:sz="0" w:space="0" w:color="auto"/>
            <w:right w:val="none" w:sz="0" w:space="0" w:color="auto"/>
          </w:divBdr>
        </w:div>
        <w:div w:id="1707824749">
          <w:marLeft w:val="0"/>
          <w:marRight w:val="0"/>
          <w:marTop w:val="0"/>
          <w:marBottom w:val="0"/>
          <w:divBdr>
            <w:top w:val="none" w:sz="0" w:space="0" w:color="auto"/>
            <w:left w:val="none" w:sz="0" w:space="0" w:color="auto"/>
            <w:bottom w:val="none" w:sz="0" w:space="0" w:color="auto"/>
            <w:right w:val="none" w:sz="0" w:space="0" w:color="auto"/>
          </w:divBdr>
        </w:div>
        <w:div w:id="1083139797">
          <w:marLeft w:val="0"/>
          <w:marRight w:val="0"/>
          <w:marTop w:val="0"/>
          <w:marBottom w:val="0"/>
          <w:divBdr>
            <w:top w:val="none" w:sz="0" w:space="0" w:color="auto"/>
            <w:left w:val="none" w:sz="0" w:space="0" w:color="auto"/>
            <w:bottom w:val="none" w:sz="0" w:space="0" w:color="auto"/>
            <w:right w:val="none" w:sz="0" w:space="0" w:color="auto"/>
          </w:divBdr>
        </w:div>
        <w:div w:id="797801966">
          <w:marLeft w:val="0"/>
          <w:marRight w:val="0"/>
          <w:marTop w:val="0"/>
          <w:marBottom w:val="0"/>
          <w:divBdr>
            <w:top w:val="none" w:sz="0" w:space="0" w:color="auto"/>
            <w:left w:val="none" w:sz="0" w:space="0" w:color="auto"/>
            <w:bottom w:val="none" w:sz="0" w:space="0" w:color="auto"/>
            <w:right w:val="none" w:sz="0" w:space="0" w:color="auto"/>
          </w:divBdr>
        </w:div>
        <w:div w:id="1297220057">
          <w:marLeft w:val="0"/>
          <w:marRight w:val="0"/>
          <w:marTop w:val="0"/>
          <w:marBottom w:val="0"/>
          <w:divBdr>
            <w:top w:val="none" w:sz="0" w:space="0" w:color="auto"/>
            <w:left w:val="none" w:sz="0" w:space="0" w:color="auto"/>
            <w:bottom w:val="none" w:sz="0" w:space="0" w:color="auto"/>
            <w:right w:val="none" w:sz="0" w:space="0" w:color="auto"/>
          </w:divBdr>
        </w:div>
        <w:div w:id="1897815377">
          <w:marLeft w:val="0"/>
          <w:marRight w:val="0"/>
          <w:marTop w:val="0"/>
          <w:marBottom w:val="0"/>
          <w:divBdr>
            <w:top w:val="none" w:sz="0" w:space="0" w:color="auto"/>
            <w:left w:val="none" w:sz="0" w:space="0" w:color="auto"/>
            <w:bottom w:val="none" w:sz="0" w:space="0" w:color="auto"/>
            <w:right w:val="none" w:sz="0" w:space="0" w:color="auto"/>
          </w:divBdr>
        </w:div>
        <w:div w:id="118841716">
          <w:marLeft w:val="0"/>
          <w:marRight w:val="0"/>
          <w:marTop w:val="0"/>
          <w:marBottom w:val="0"/>
          <w:divBdr>
            <w:top w:val="none" w:sz="0" w:space="0" w:color="auto"/>
            <w:left w:val="none" w:sz="0" w:space="0" w:color="auto"/>
            <w:bottom w:val="none" w:sz="0" w:space="0" w:color="auto"/>
            <w:right w:val="none" w:sz="0" w:space="0" w:color="auto"/>
          </w:divBdr>
        </w:div>
        <w:div w:id="1271474421">
          <w:marLeft w:val="0"/>
          <w:marRight w:val="0"/>
          <w:marTop w:val="0"/>
          <w:marBottom w:val="0"/>
          <w:divBdr>
            <w:top w:val="none" w:sz="0" w:space="0" w:color="auto"/>
            <w:left w:val="none" w:sz="0" w:space="0" w:color="auto"/>
            <w:bottom w:val="none" w:sz="0" w:space="0" w:color="auto"/>
            <w:right w:val="none" w:sz="0" w:space="0" w:color="auto"/>
          </w:divBdr>
        </w:div>
        <w:div w:id="1398549156">
          <w:marLeft w:val="0"/>
          <w:marRight w:val="0"/>
          <w:marTop w:val="0"/>
          <w:marBottom w:val="0"/>
          <w:divBdr>
            <w:top w:val="none" w:sz="0" w:space="0" w:color="auto"/>
            <w:left w:val="none" w:sz="0" w:space="0" w:color="auto"/>
            <w:bottom w:val="none" w:sz="0" w:space="0" w:color="auto"/>
            <w:right w:val="none" w:sz="0" w:space="0" w:color="auto"/>
          </w:divBdr>
        </w:div>
        <w:div w:id="1610623934">
          <w:marLeft w:val="0"/>
          <w:marRight w:val="0"/>
          <w:marTop w:val="0"/>
          <w:marBottom w:val="0"/>
          <w:divBdr>
            <w:top w:val="none" w:sz="0" w:space="0" w:color="auto"/>
            <w:left w:val="none" w:sz="0" w:space="0" w:color="auto"/>
            <w:bottom w:val="none" w:sz="0" w:space="0" w:color="auto"/>
            <w:right w:val="none" w:sz="0" w:space="0" w:color="auto"/>
          </w:divBdr>
        </w:div>
        <w:div w:id="685866466">
          <w:marLeft w:val="0"/>
          <w:marRight w:val="0"/>
          <w:marTop w:val="0"/>
          <w:marBottom w:val="0"/>
          <w:divBdr>
            <w:top w:val="none" w:sz="0" w:space="0" w:color="auto"/>
            <w:left w:val="none" w:sz="0" w:space="0" w:color="auto"/>
            <w:bottom w:val="none" w:sz="0" w:space="0" w:color="auto"/>
            <w:right w:val="none" w:sz="0" w:space="0" w:color="auto"/>
          </w:divBdr>
        </w:div>
        <w:div w:id="1892307731">
          <w:marLeft w:val="0"/>
          <w:marRight w:val="0"/>
          <w:marTop w:val="0"/>
          <w:marBottom w:val="0"/>
          <w:divBdr>
            <w:top w:val="none" w:sz="0" w:space="0" w:color="auto"/>
            <w:left w:val="none" w:sz="0" w:space="0" w:color="auto"/>
            <w:bottom w:val="none" w:sz="0" w:space="0" w:color="auto"/>
            <w:right w:val="none" w:sz="0" w:space="0" w:color="auto"/>
          </w:divBdr>
        </w:div>
        <w:div w:id="812870134">
          <w:marLeft w:val="0"/>
          <w:marRight w:val="0"/>
          <w:marTop w:val="0"/>
          <w:marBottom w:val="0"/>
          <w:divBdr>
            <w:top w:val="none" w:sz="0" w:space="0" w:color="auto"/>
            <w:left w:val="none" w:sz="0" w:space="0" w:color="auto"/>
            <w:bottom w:val="none" w:sz="0" w:space="0" w:color="auto"/>
            <w:right w:val="none" w:sz="0" w:space="0" w:color="auto"/>
          </w:divBdr>
        </w:div>
        <w:div w:id="577207770">
          <w:marLeft w:val="0"/>
          <w:marRight w:val="0"/>
          <w:marTop w:val="0"/>
          <w:marBottom w:val="0"/>
          <w:divBdr>
            <w:top w:val="none" w:sz="0" w:space="0" w:color="auto"/>
            <w:left w:val="none" w:sz="0" w:space="0" w:color="auto"/>
            <w:bottom w:val="none" w:sz="0" w:space="0" w:color="auto"/>
            <w:right w:val="none" w:sz="0" w:space="0" w:color="auto"/>
          </w:divBdr>
        </w:div>
        <w:div w:id="857542539">
          <w:marLeft w:val="0"/>
          <w:marRight w:val="0"/>
          <w:marTop w:val="0"/>
          <w:marBottom w:val="0"/>
          <w:divBdr>
            <w:top w:val="none" w:sz="0" w:space="0" w:color="auto"/>
            <w:left w:val="none" w:sz="0" w:space="0" w:color="auto"/>
            <w:bottom w:val="none" w:sz="0" w:space="0" w:color="auto"/>
            <w:right w:val="none" w:sz="0" w:space="0" w:color="auto"/>
          </w:divBdr>
        </w:div>
        <w:div w:id="1450514653">
          <w:marLeft w:val="0"/>
          <w:marRight w:val="0"/>
          <w:marTop w:val="0"/>
          <w:marBottom w:val="0"/>
          <w:divBdr>
            <w:top w:val="none" w:sz="0" w:space="0" w:color="auto"/>
            <w:left w:val="none" w:sz="0" w:space="0" w:color="auto"/>
            <w:bottom w:val="none" w:sz="0" w:space="0" w:color="auto"/>
            <w:right w:val="none" w:sz="0" w:space="0" w:color="auto"/>
          </w:divBdr>
        </w:div>
        <w:div w:id="1872452379">
          <w:marLeft w:val="0"/>
          <w:marRight w:val="0"/>
          <w:marTop w:val="0"/>
          <w:marBottom w:val="0"/>
          <w:divBdr>
            <w:top w:val="none" w:sz="0" w:space="0" w:color="auto"/>
            <w:left w:val="none" w:sz="0" w:space="0" w:color="auto"/>
            <w:bottom w:val="none" w:sz="0" w:space="0" w:color="auto"/>
            <w:right w:val="none" w:sz="0" w:space="0" w:color="auto"/>
          </w:divBdr>
        </w:div>
        <w:div w:id="1270816454">
          <w:marLeft w:val="0"/>
          <w:marRight w:val="0"/>
          <w:marTop w:val="0"/>
          <w:marBottom w:val="0"/>
          <w:divBdr>
            <w:top w:val="none" w:sz="0" w:space="0" w:color="auto"/>
            <w:left w:val="none" w:sz="0" w:space="0" w:color="auto"/>
            <w:bottom w:val="none" w:sz="0" w:space="0" w:color="auto"/>
            <w:right w:val="none" w:sz="0" w:space="0" w:color="auto"/>
          </w:divBdr>
        </w:div>
        <w:div w:id="388724542">
          <w:marLeft w:val="0"/>
          <w:marRight w:val="0"/>
          <w:marTop w:val="0"/>
          <w:marBottom w:val="0"/>
          <w:divBdr>
            <w:top w:val="none" w:sz="0" w:space="0" w:color="auto"/>
            <w:left w:val="none" w:sz="0" w:space="0" w:color="auto"/>
            <w:bottom w:val="none" w:sz="0" w:space="0" w:color="auto"/>
            <w:right w:val="none" w:sz="0" w:space="0" w:color="auto"/>
          </w:divBdr>
        </w:div>
        <w:div w:id="1106462100">
          <w:marLeft w:val="0"/>
          <w:marRight w:val="0"/>
          <w:marTop w:val="0"/>
          <w:marBottom w:val="0"/>
          <w:divBdr>
            <w:top w:val="none" w:sz="0" w:space="0" w:color="auto"/>
            <w:left w:val="none" w:sz="0" w:space="0" w:color="auto"/>
            <w:bottom w:val="none" w:sz="0" w:space="0" w:color="auto"/>
            <w:right w:val="none" w:sz="0" w:space="0" w:color="auto"/>
          </w:divBdr>
        </w:div>
        <w:div w:id="1425296010">
          <w:marLeft w:val="0"/>
          <w:marRight w:val="0"/>
          <w:marTop w:val="0"/>
          <w:marBottom w:val="0"/>
          <w:divBdr>
            <w:top w:val="none" w:sz="0" w:space="0" w:color="auto"/>
            <w:left w:val="none" w:sz="0" w:space="0" w:color="auto"/>
            <w:bottom w:val="none" w:sz="0" w:space="0" w:color="auto"/>
            <w:right w:val="none" w:sz="0" w:space="0" w:color="auto"/>
          </w:divBdr>
        </w:div>
        <w:div w:id="817260575">
          <w:marLeft w:val="0"/>
          <w:marRight w:val="0"/>
          <w:marTop w:val="0"/>
          <w:marBottom w:val="0"/>
          <w:divBdr>
            <w:top w:val="none" w:sz="0" w:space="0" w:color="auto"/>
            <w:left w:val="none" w:sz="0" w:space="0" w:color="auto"/>
            <w:bottom w:val="none" w:sz="0" w:space="0" w:color="auto"/>
            <w:right w:val="none" w:sz="0" w:space="0" w:color="auto"/>
          </w:divBdr>
        </w:div>
      </w:divsChild>
    </w:div>
    <w:div w:id="91363192">
      <w:bodyDiv w:val="1"/>
      <w:marLeft w:val="0"/>
      <w:marRight w:val="0"/>
      <w:marTop w:val="0"/>
      <w:marBottom w:val="0"/>
      <w:divBdr>
        <w:top w:val="none" w:sz="0" w:space="0" w:color="auto"/>
        <w:left w:val="none" w:sz="0" w:space="0" w:color="auto"/>
        <w:bottom w:val="none" w:sz="0" w:space="0" w:color="auto"/>
        <w:right w:val="none" w:sz="0" w:space="0" w:color="auto"/>
      </w:divBdr>
    </w:div>
    <w:div w:id="104154103">
      <w:bodyDiv w:val="1"/>
      <w:marLeft w:val="0"/>
      <w:marRight w:val="0"/>
      <w:marTop w:val="0"/>
      <w:marBottom w:val="0"/>
      <w:divBdr>
        <w:top w:val="none" w:sz="0" w:space="0" w:color="auto"/>
        <w:left w:val="none" w:sz="0" w:space="0" w:color="auto"/>
        <w:bottom w:val="none" w:sz="0" w:space="0" w:color="auto"/>
        <w:right w:val="none" w:sz="0" w:space="0" w:color="auto"/>
      </w:divBdr>
    </w:div>
    <w:div w:id="164057113">
      <w:bodyDiv w:val="1"/>
      <w:marLeft w:val="0"/>
      <w:marRight w:val="0"/>
      <w:marTop w:val="0"/>
      <w:marBottom w:val="0"/>
      <w:divBdr>
        <w:top w:val="none" w:sz="0" w:space="0" w:color="auto"/>
        <w:left w:val="none" w:sz="0" w:space="0" w:color="auto"/>
        <w:bottom w:val="none" w:sz="0" w:space="0" w:color="auto"/>
        <w:right w:val="none" w:sz="0" w:space="0" w:color="auto"/>
      </w:divBdr>
    </w:div>
    <w:div w:id="190580066">
      <w:bodyDiv w:val="1"/>
      <w:marLeft w:val="0"/>
      <w:marRight w:val="0"/>
      <w:marTop w:val="0"/>
      <w:marBottom w:val="0"/>
      <w:divBdr>
        <w:top w:val="none" w:sz="0" w:space="0" w:color="auto"/>
        <w:left w:val="none" w:sz="0" w:space="0" w:color="auto"/>
        <w:bottom w:val="none" w:sz="0" w:space="0" w:color="auto"/>
        <w:right w:val="none" w:sz="0" w:space="0" w:color="auto"/>
      </w:divBdr>
    </w:div>
    <w:div w:id="200480390">
      <w:bodyDiv w:val="1"/>
      <w:marLeft w:val="0"/>
      <w:marRight w:val="0"/>
      <w:marTop w:val="0"/>
      <w:marBottom w:val="0"/>
      <w:divBdr>
        <w:top w:val="none" w:sz="0" w:space="0" w:color="auto"/>
        <w:left w:val="none" w:sz="0" w:space="0" w:color="auto"/>
        <w:bottom w:val="none" w:sz="0" w:space="0" w:color="auto"/>
        <w:right w:val="none" w:sz="0" w:space="0" w:color="auto"/>
      </w:divBdr>
    </w:div>
    <w:div w:id="308246005">
      <w:bodyDiv w:val="1"/>
      <w:marLeft w:val="0"/>
      <w:marRight w:val="0"/>
      <w:marTop w:val="0"/>
      <w:marBottom w:val="0"/>
      <w:divBdr>
        <w:top w:val="none" w:sz="0" w:space="0" w:color="auto"/>
        <w:left w:val="none" w:sz="0" w:space="0" w:color="auto"/>
        <w:bottom w:val="none" w:sz="0" w:space="0" w:color="auto"/>
        <w:right w:val="none" w:sz="0" w:space="0" w:color="auto"/>
      </w:divBdr>
    </w:div>
    <w:div w:id="340939047">
      <w:bodyDiv w:val="1"/>
      <w:marLeft w:val="0"/>
      <w:marRight w:val="0"/>
      <w:marTop w:val="0"/>
      <w:marBottom w:val="0"/>
      <w:divBdr>
        <w:top w:val="none" w:sz="0" w:space="0" w:color="auto"/>
        <w:left w:val="none" w:sz="0" w:space="0" w:color="auto"/>
        <w:bottom w:val="none" w:sz="0" w:space="0" w:color="auto"/>
        <w:right w:val="none" w:sz="0" w:space="0" w:color="auto"/>
      </w:divBdr>
    </w:div>
    <w:div w:id="343096659">
      <w:bodyDiv w:val="1"/>
      <w:marLeft w:val="0"/>
      <w:marRight w:val="0"/>
      <w:marTop w:val="0"/>
      <w:marBottom w:val="0"/>
      <w:divBdr>
        <w:top w:val="none" w:sz="0" w:space="0" w:color="auto"/>
        <w:left w:val="none" w:sz="0" w:space="0" w:color="auto"/>
        <w:bottom w:val="none" w:sz="0" w:space="0" w:color="auto"/>
        <w:right w:val="none" w:sz="0" w:space="0" w:color="auto"/>
      </w:divBdr>
    </w:div>
    <w:div w:id="354187052">
      <w:bodyDiv w:val="1"/>
      <w:marLeft w:val="0"/>
      <w:marRight w:val="0"/>
      <w:marTop w:val="0"/>
      <w:marBottom w:val="0"/>
      <w:divBdr>
        <w:top w:val="none" w:sz="0" w:space="0" w:color="auto"/>
        <w:left w:val="none" w:sz="0" w:space="0" w:color="auto"/>
        <w:bottom w:val="none" w:sz="0" w:space="0" w:color="auto"/>
        <w:right w:val="none" w:sz="0" w:space="0" w:color="auto"/>
      </w:divBdr>
    </w:div>
    <w:div w:id="376784997">
      <w:bodyDiv w:val="1"/>
      <w:marLeft w:val="0"/>
      <w:marRight w:val="0"/>
      <w:marTop w:val="0"/>
      <w:marBottom w:val="0"/>
      <w:divBdr>
        <w:top w:val="none" w:sz="0" w:space="0" w:color="auto"/>
        <w:left w:val="none" w:sz="0" w:space="0" w:color="auto"/>
        <w:bottom w:val="none" w:sz="0" w:space="0" w:color="auto"/>
        <w:right w:val="none" w:sz="0" w:space="0" w:color="auto"/>
      </w:divBdr>
    </w:div>
    <w:div w:id="399447070">
      <w:bodyDiv w:val="1"/>
      <w:marLeft w:val="0"/>
      <w:marRight w:val="0"/>
      <w:marTop w:val="0"/>
      <w:marBottom w:val="0"/>
      <w:divBdr>
        <w:top w:val="none" w:sz="0" w:space="0" w:color="auto"/>
        <w:left w:val="none" w:sz="0" w:space="0" w:color="auto"/>
        <w:bottom w:val="none" w:sz="0" w:space="0" w:color="auto"/>
        <w:right w:val="none" w:sz="0" w:space="0" w:color="auto"/>
      </w:divBdr>
    </w:div>
    <w:div w:id="542057995">
      <w:bodyDiv w:val="1"/>
      <w:marLeft w:val="0"/>
      <w:marRight w:val="0"/>
      <w:marTop w:val="0"/>
      <w:marBottom w:val="0"/>
      <w:divBdr>
        <w:top w:val="none" w:sz="0" w:space="0" w:color="auto"/>
        <w:left w:val="none" w:sz="0" w:space="0" w:color="auto"/>
        <w:bottom w:val="none" w:sz="0" w:space="0" w:color="auto"/>
        <w:right w:val="none" w:sz="0" w:space="0" w:color="auto"/>
      </w:divBdr>
    </w:div>
    <w:div w:id="763762654">
      <w:bodyDiv w:val="1"/>
      <w:marLeft w:val="0"/>
      <w:marRight w:val="0"/>
      <w:marTop w:val="0"/>
      <w:marBottom w:val="0"/>
      <w:divBdr>
        <w:top w:val="none" w:sz="0" w:space="0" w:color="auto"/>
        <w:left w:val="none" w:sz="0" w:space="0" w:color="auto"/>
        <w:bottom w:val="none" w:sz="0" w:space="0" w:color="auto"/>
        <w:right w:val="none" w:sz="0" w:space="0" w:color="auto"/>
      </w:divBdr>
    </w:div>
    <w:div w:id="951060372">
      <w:bodyDiv w:val="1"/>
      <w:marLeft w:val="0"/>
      <w:marRight w:val="0"/>
      <w:marTop w:val="0"/>
      <w:marBottom w:val="0"/>
      <w:divBdr>
        <w:top w:val="none" w:sz="0" w:space="0" w:color="auto"/>
        <w:left w:val="none" w:sz="0" w:space="0" w:color="auto"/>
        <w:bottom w:val="none" w:sz="0" w:space="0" w:color="auto"/>
        <w:right w:val="none" w:sz="0" w:space="0" w:color="auto"/>
      </w:divBdr>
    </w:div>
    <w:div w:id="1313675354">
      <w:bodyDiv w:val="1"/>
      <w:marLeft w:val="0"/>
      <w:marRight w:val="0"/>
      <w:marTop w:val="0"/>
      <w:marBottom w:val="0"/>
      <w:divBdr>
        <w:top w:val="none" w:sz="0" w:space="0" w:color="auto"/>
        <w:left w:val="none" w:sz="0" w:space="0" w:color="auto"/>
        <w:bottom w:val="none" w:sz="0" w:space="0" w:color="auto"/>
        <w:right w:val="none" w:sz="0" w:space="0" w:color="auto"/>
      </w:divBdr>
    </w:div>
    <w:div w:id="1344405903">
      <w:bodyDiv w:val="1"/>
      <w:marLeft w:val="0"/>
      <w:marRight w:val="0"/>
      <w:marTop w:val="0"/>
      <w:marBottom w:val="0"/>
      <w:divBdr>
        <w:top w:val="none" w:sz="0" w:space="0" w:color="auto"/>
        <w:left w:val="none" w:sz="0" w:space="0" w:color="auto"/>
        <w:bottom w:val="none" w:sz="0" w:space="0" w:color="auto"/>
        <w:right w:val="none" w:sz="0" w:space="0" w:color="auto"/>
      </w:divBdr>
    </w:div>
    <w:div w:id="1603225873">
      <w:bodyDiv w:val="1"/>
      <w:marLeft w:val="0"/>
      <w:marRight w:val="0"/>
      <w:marTop w:val="0"/>
      <w:marBottom w:val="0"/>
      <w:divBdr>
        <w:top w:val="none" w:sz="0" w:space="0" w:color="auto"/>
        <w:left w:val="none" w:sz="0" w:space="0" w:color="auto"/>
        <w:bottom w:val="none" w:sz="0" w:space="0" w:color="auto"/>
        <w:right w:val="none" w:sz="0" w:space="0" w:color="auto"/>
      </w:divBdr>
    </w:div>
    <w:div w:id="1663200510">
      <w:bodyDiv w:val="1"/>
      <w:marLeft w:val="0"/>
      <w:marRight w:val="0"/>
      <w:marTop w:val="0"/>
      <w:marBottom w:val="0"/>
      <w:divBdr>
        <w:top w:val="none" w:sz="0" w:space="0" w:color="auto"/>
        <w:left w:val="none" w:sz="0" w:space="0" w:color="auto"/>
        <w:bottom w:val="none" w:sz="0" w:space="0" w:color="auto"/>
        <w:right w:val="none" w:sz="0" w:space="0" w:color="auto"/>
      </w:divBdr>
    </w:div>
    <w:div w:id="1841963996">
      <w:bodyDiv w:val="1"/>
      <w:marLeft w:val="0"/>
      <w:marRight w:val="0"/>
      <w:marTop w:val="0"/>
      <w:marBottom w:val="0"/>
      <w:divBdr>
        <w:top w:val="none" w:sz="0" w:space="0" w:color="auto"/>
        <w:left w:val="none" w:sz="0" w:space="0" w:color="auto"/>
        <w:bottom w:val="none" w:sz="0" w:space="0" w:color="auto"/>
        <w:right w:val="none" w:sz="0" w:space="0" w:color="auto"/>
      </w:divBdr>
    </w:div>
    <w:div w:id="1912695282">
      <w:bodyDiv w:val="1"/>
      <w:marLeft w:val="0"/>
      <w:marRight w:val="0"/>
      <w:marTop w:val="0"/>
      <w:marBottom w:val="0"/>
      <w:divBdr>
        <w:top w:val="none" w:sz="0" w:space="0" w:color="auto"/>
        <w:left w:val="none" w:sz="0" w:space="0" w:color="auto"/>
        <w:bottom w:val="none" w:sz="0" w:space="0" w:color="auto"/>
        <w:right w:val="none" w:sz="0" w:space="0" w:color="auto"/>
      </w:divBdr>
    </w:div>
    <w:div w:id="1979920936">
      <w:bodyDiv w:val="1"/>
      <w:marLeft w:val="0"/>
      <w:marRight w:val="0"/>
      <w:marTop w:val="0"/>
      <w:marBottom w:val="0"/>
      <w:divBdr>
        <w:top w:val="none" w:sz="0" w:space="0" w:color="auto"/>
        <w:left w:val="none" w:sz="0" w:space="0" w:color="auto"/>
        <w:bottom w:val="none" w:sz="0" w:space="0" w:color="auto"/>
        <w:right w:val="none" w:sz="0" w:space="0" w:color="auto"/>
      </w:divBdr>
    </w:div>
    <w:div w:id="2000693929">
      <w:bodyDiv w:val="1"/>
      <w:marLeft w:val="0"/>
      <w:marRight w:val="0"/>
      <w:marTop w:val="0"/>
      <w:marBottom w:val="0"/>
      <w:divBdr>
        <w:top w:val="none" w:sz="0" w:space="0" w:color="auto"/>
        <w:left w:val="none" w:sz="0" w:space="0" w:color="auto"/>
        <w:bottom w:val="none" w:sz="0" w:space="0" w:color="auto"/>
        <w:right w:val="none" w:sz="0" w:space="0" w:color="auto"/>
      </w:divBdr>
    </w:div>
    <w:div w:id="2053571593">
      <w:bodyDiv w:val="1"/>
      <w:marLeft w:val="0"/>
      <w:marRight w:val="0"/>
      <w:marTop w:val="0"/>
      <w:marBottom w:val="0"/>
      <w:divBdr>
        <w:top w:val="none" w:sz="0" w:space="0" w:color="auto"/>
        <w:left w:val="none" w:sz="0" w:space="0" w:color="auto"/>
        <w:bottom w:val="none" w:sz="0" w:space="0" w:color="auto"/>
        <w:right w:val="none" w:sz="0" w:space="0" w:color="auto"/>
      </w:divBdr>
    </w:div>
    <w:div w:id="2061204896">
      <w:bodyDiv w:val="1"/>
      <w:marLeft w:val="0"/>
      <w:marRight w:val="0"/>
      <w:marTop w:val="0"/>
      <w:marBottom w:val="0"/>
      <w:divBdr>
        <w:top w:val="none" w:sz="0" w:space="0" w:color="auto"/>
        <w:left w:val="none" w:sz="0" w:space="0" w:color="auto"/>
        <w:bottom w:val="none" w:sz="0" w:space="0" w:color="auto"/>
        <w:right w:val="none" w:sz="0" w:space="0" w:color="auto"/>
      </w:divBdr>
    </w:div>
    <w:div w:id="21358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f-arch2.mf.gov.pl/web/bip/ministerstwo-finansow/dzialalnosc/finanse-publiczne/reforma-systemu-budzetowego/-/asset_publisher/48Yh/content/zalozenia-reformy-systemu-budzetowego?redirect=https%3A%2F%2Fmf-arch2.mf.gov.pl%2Fweb%2Fbip%2Fministerstwo-finansow%2Fdzialalnosc%2Ffinanse-publiczne%2Freforma-systemu-budzetowego%3Fp_p_id%3D101_INSTANCE_48Yh%26p_p_lifecycle%3D0%26p_p_state%3Dnormal%26p_p_mode%3Dview%26p_p_col_id%3Dcolumn-2%26p_p_col_count%3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897C-1814-4454-9BA3-470F6EFB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25181</Words>
  <Characters>151087</Characters>
  <Application>Microsoft Office Word</Application>
  <DocSecurity>0</DocSecurity>
  <Lines>1259</Lines>
  <Paragraphs>351</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Fryźlewicz Jakub</dc:creator>
  <cp:lastModifiedBy>pap pap</cp:lastModifiedBy>
  <cp:revision>2</cp:revision>
  <cp:lastPrinted>2022-04-29T07:58:00Z</cp:lastPrinted>
  <dcterms:created xsi:type="dcterms:W3CDTF">2022-05-06T11:45:00Z</dcterms:created>
  <dcterms:modified xsi:type="dcterms:W3CDTF">2022-05-06T11:45:00Z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MF\BNAR;Mazur Krystian</vt:lpwstr>
  </property>
  <property fmtid="{D5CDD505-2E9C-101B-9397-08002B2CF9AE}" pid="4" name="MFClassificationDate">
    <vt:lpwstr>2021-12-17T13:49:59.8471331+01:00</vt:lpwstr>
  </property>
  <property fmtid="{D5CDD505-2E9C-101B-9397-08002B2CF9AE}" pid="5" name="MFClassifiedBySID">
    <vt:lpwstr>MF\S-1-5-21-1525952054-1005573771-2909822258-18950</vt:lpwstr>
  </property>
  <property fmtid="{D5CDD505-2E9C-101B-9397-08002B2CF9AE}" pid="6" name="MFGRNItemId">
    <vt:lpwstr>GRN-724a2740-6ba0-4fc7-9200-7de7ba5aa2bc</vt:lpwstr>
  </property>
  <property fmtid="{D5CDD505-2E9C-101B-9397-08002B2CF9AE}" pid="7" name="MFHash">
    <vt:lpwstr>wggQg0VijK6q58qU2ivzveAZmzIMWhVe5yaXRZgaaHo=</vt:lpwstr>
  </property>
  <property fmtid="{D5CDD505-2E9C-101B-9397-08002B2CF9AE}" pid="8" name="DLPManualFileClassification">
    <vt:lpwstr>{5fdfc941-3fcf-4a5b-87be-4848800d39d0}</vt:lpwstr>
  </property>
  <property fmtid="{D5CDD505-2E9C-101B-9397-08002B2CF9AE}" pid="9" name="MFRefresh">
    <vt:lpwstr>False</vt:lpwstr>
  </property>
</Properties>
</file>