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dnialista1akcent6"/>
        <w:tblpPr w:leftFromText="141" w:rightFromText="141" w:horzAnchor="margin" w:tblpY="1014"/>
        <w:tblW w:w="0" w:type="auto"/>
        <w:tblLook w:val="04A0" w:firstRow="1" w:lastRow="0" w:firstColumn="1" w:lastColumn="0" w:noHBand="0" w:noVBand="1"/>
      </w:tblPr>
      <w:tblGrid>
        <w:gridCol w:w="8882"/>
      </w:tblGrid>
      <w:tr w:rsidR="003112D2" w:rsidRPr="003112D2" w14:paraId="1B01B4F8" w14:textId="77777777" w:rsidTr="00EF41F3">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8882" w:type="dxa"/>
          </w:tcPr>
          <w:p w14:paraId="50C87B59" w14:textId="2B36842D" w:rsidR="002D48F8" w:rsidRPr="003112D2" w:rsidRDefault="00B04D3C" w:rsidP="00EF41F3">
            <w:pPr>
              <w:jc w:val="center"/>
              <w:rPr>
                <w:b w:val="0"/>
                <w:color w:val="auto"/>
                <w:sz w:val="40"/>
                <w:szCs w:val="40"/>
              </w:rPr>
            </w:pPr>
            <w:bookmarkStart w:id="0" w:name="_Hlk491274567"/>
            <w:bookmarkStart w:id="1" w:name="_GoBack"/>
            <w:bookmarkEnd w:id="1"/>
            <w:r w:rsidRPr="003112D2">
              <w:rPr>
                <w:b w:val="0"/>
                <w:color w:val="auto"/>
                <w:sz w:val="40"/>
                <w:szCs w:val="40"/>
              </w:rPr>
              <w:t xml:space="preserve"> </w:t>
            </w:r>
          </w:p>
          <w:p w14:paraId="3630DCE3" w14:textId="77777777" w:rsidR="002D48F8" w:rsidRPr="003112D2" w:rsidRDefault="00D218BC" w:rsidP="00EF41F3">
            <w:pPr>
              <w:jc w:val="center"/>
              <w:rPr>
                <w:color w:val="auto"/>
                <w:sz w:val="32"/>
                <w:szCs w:val="32"/>
              </w:rPr>
            </w:pPr>
            <w:r w:rsidRPr="003112D2">
              <w:rPr>
                <w:color w:val="auto"/>
                <w:sz w:val="32"/>
                <w:szCs w:val="32"/>
              </w:rPr>
              <w:t>W</w:t>
            </w:r>
            <w:r w:rsidR="002D48F8" w:rsidRPr="003112D2">
              <w:rPr>
                <w:color w:val="auto"/>
                <w:sz w:val="32"/>
                <w:szCs w:val="32"/>
              </w:rPr>
              <w:t>arunki konkursu</w:t>
            </w:r>
          </w:p>
          <w:p w14:paraId="0B96C0A4" w14:textId="77777777" w:rsidR="00905926" w:rsidRPr="003112D2" w:rsidRDefault="00905926" w:rsidP="00905926">
            <w:pPr>
              <w:jc w:val="center"/>
              <w:rPr>
                <w:color w:val="auto"/>
                <w:sz w:val="28"/>
                <w:szCs w:val="28"/>
              </w:rPr>
            </w:pPr>
            <w:r w:rsidRPr="003112D2">
              <w:rPr>
                <w:color w:val="auto"/>
                <w:sz w:val="28"/>
                <w:szCs w:val="28"/>
              </w:rPr>
              <w:t>Krajowy Plan Odbudowy i Zwiększania Odporności</w:t>
            </w:r>
          </w:p>
          <w:p w14:paraId="316914B1" w14:textId="77777777" w:rsidR="002D48F8" w:rsidRPr="003112D2" w:rsidRDefault="00905926" w:rsidP="00905926">
            <w:pPr>
              <w:jc w:val="center"/>
              <w:rPr>
                <w:color w:val="auto"/>
                <w:sz w:val="24"/>
                <w:szCs w:val="28"/>
              </w:rPr>
            </w:pPr>
            <w:r w:rsidRPr="003112D2">
              <w:rPr>
                <w:color w:val="auto"/>
                <w:sz w:val="24"/>
                <w:szCs w:val="28"/>
              </w:rPr>
              <w:t>Komponent E – Zielona, inteligentna mobilność</w:t>
            </w:r>
          </w:p>
          <w:p w14:paraId="274B9E39" w14:textId="77777777" w:rsidR="002831D6" w:rsidRPr="003112D2" w:rsidRDefault="002831D6" w:rsidP="00905926">
            <w:pPr>
              <w:jc w:val="center"/>
              <w:rPr>
                <w:color w:val="auto"/>
                <w:sz w:val="28"/>
                <w:szCs w:val="28"/>
              </w:rPr>
            </w:pPr>
            <w:r w:rsidRPr="003112D2">
              <w:rPr>
                <w:rFonts w:asciiTheme="minorHAnsi" w:hAnsiTheme="minorHAnsi"/>
                <w:color w:val="auto"/>
                <w:sz w:val="24"/>
                <w:szCs w:val="28"/>
              </w:rPr>
              <w:t xml:space="preserve">Inwestycja: </w:t>
            </w:r>
            <w:r w:rsidRPr="003112D2">
              <w:rPr>
                <w:rFonts w:asciiTheme="minorHAnsi" w:eastAsiaTheme="minorHAnsi" w:hAnsiTheme="minorHAnsi"/>
                <w:color w:val="auto"/>
                <w:sz w:val="24"/>
                <w:szCs w:val="28"/>
              </w:rPr>
              <w:t>E1.1.2 Zero- i niskoemisyjny transport zbiorowy (autobusy)</w:t>
            </w:r>
          </w:p>
        </w:tc>
      </w:tr>
    </w:tbl>
    <w:p w14:paraId="2B8853C7" w14:textId="1FA0A7E3" w:rsidR="00D218BC" w:rsidRPr="003112D2" w:rsidRDefault="00EF41F3" w:rsidP="00004D6C">
      <w:pPr>
        <w:rPr>
          <w:b/>
        </w:rPr>
      </w:pPr>
      <w:r w:rsidRPr="003112D2">
        <w:rPr>
          <w:b/>
        </w:rPr>
        <w:t xml:space="preserve">Załącznik </w:t>
      </w:r>
      <w:r w:rsidR="004D0C16" w:rsidRPr="003112D2">
        <w:rPr>
          <w:b/>
        </w:rPr>
        <w:t>6</w:t>
      </w:r>
      <w:r w:rsidRPr="003112D2">
        <w:rPr>
          <w:b/>
        </w:rPr>
        <w:t xml:space="preserve"> do </w:t>
      </w:r>
      <w:r w:rsidR="004D0C16" w:rsidRPr="003112D2">
        <w:rPr>
          <w:b/>
        </w:rPr>
        <w:t>Regulaminu K</w:t>
      </w:r>
      <w:r w:rsidRPr="003112D2">
        <w:rPr>
          <w:b/>
        </w:rPr>
        <w:t xml:space="preserve">onkursu Nr </w:t>
      </w:r>
      <w:r w:rsidR="00225DDF" w:rsidRPr="00B62871">
        <w:rPr>
          <w:b/>
        </w:rPr>
        <w:t>KPOD.09.05-IW.02-00</w:t>
      </w:r>
      <w:r w:rsidR="00A82D21" w:rsidRPr="00B62871">
        <w:rPr>
          <w:b/>
        </w:rPr>
        <w:t>3</w:t>
      </w:r>
      <w:r w:rsidR="00225DDF" w:rsidRPr="00B62871">
        <w:rPr>
          <w:b/>
        </w:rPr>
        <w:t>/24</w:t>
      </w:r>
    </w:p>
    <w:p w14:paraId="2802D049" w14:textId="77777777" w:rsidR="00304A90" w:rsidRPr="003112D2" w:rsidRDefault="00304A90" w:rsidP="00004D6C">
      <w:pPr>
        <w:rPr>
          <w:b/>
        </w:rPr>
      </w:pPr>
    </w:p>
    <w:p w14:paraId="0EFD55F1" w14:textId="77777777" w:rsidR="00FA46DA" w:rsidRPr="003112D2" w:rsidRDefault="00FA46DA" w:rsidP="00CC357D">
      <w:pPr>
        <w:ind w:left="360"/>
        <w:jc w:val="both"/>
      </w:pPr>
    </w:p>
    <w:sdt>
      <w:sdtPr>
        <w:rPr>
          <w:rFonts w:asciiTheme="minorHAnsi" w:eastAsiaTheme="minorHAnsi" w:hAnsiTheme="minorHAnsi" w:cstheme="minorBidi"/>
          <w:b w:val="0"/>
          <w:bCs w:val="0"/>
          <w:color w:val="auto"/>
          <w:sz w:val="22"/>
          <w:szCs w:val="22"/>
          <w:lang w:eastAsia="en-US"/>
        </w:rPr>
        <w:id w:val="1946802475"/>
        <w:docPartObj>
          <w:docPartGallery w:val="Table of Contents"/>
          <w:docPartUnique/>
        </w:docPartObj>
      </w:sdtPr>
      <w:sdtEndPr/>
      <w:sdtContent>
        <w:p w14:paraId="27D6B4BA" w14:textId="77777777" w:rsidR="00FA46DA" w:rsidRPr="003112D2" w:rsidRDefault="00FA46DA">
          <w:pPr>
            <w:pStyle w:val="Nagwekspisutreci"/>
            <w:rPr>
              <w:color w:val="auto"/>
            </w:rPr>
          </w:pPr>
          <w:r w:rsidRPr="003112D2">
            <w:rPr>
              <w:color w:val="auto"/>
            </w:rPr>
            <w:t>Spis treści</w:t>
          </w:r>
        </w:p>
        <w:p w14:paraId="44D9E593" w14:textId="18516E28" w:rsidR="009A527E" w:rsidRPr="003112D2" w:rsidRDefault="00B36095">
          <w:pPr>
            <w:pStyle w:val="Spistreci1"/>
            <w:rPr>
              <w:rFonts w:eastAsiaTheme="minorEastAsia"/>
              <w:noProof/>
              <w:lang w:eastAsia="pl-PL"/>
            </w:rPr>
          </w:pPr>
          <w:r w:rsidRPr="003112D2">
            <w:fldChar w:fldCharType="begin"/>
          </w:r>
          <w:r w:rsidR="00FA46DA" w:rsidRPr="003112D2">
            <w:instrText xml:space="preserve"> TOC \o "1-3" \h \z \u </w:instrText>
          </w:r>
          <w:r w:rsidRPr="003112D2">
            <w:fldChar w:fldCharType="separate"/>
          </w:r>
          <w:hyperlink w:anchor="_Toc136952664" w:history="1">
            <w:r w:rsidR="009A527E" w:rsidRPr="003112D2">
              <w:rPr>
                <w:rStyle w:val="Hipercze"/>
                <w:smallCaps/>
                <w:noProof/>
                <w:color w:val="auto"/>
              </w:rPr>
              <w:t>Cel konkursu</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_Toc136952664 \h </w:instrText>
            </w:r>
            <w:r w:rsidR="009A527E" w:rsidRPr="003112D2">
              <w:rPr>
                <w:noProof/>
                <w:webHidden/>
              </w:rPr>
            </w:r>
            <w:r w:rsidR="009A527E" w:rsidRPr="003112D2">
              <w:rPr>
                <w:noProof/>
                <w:webHidden/>
              </w:rPr>
              <w:fldChar w:fldCharType="separate"/>
            </w:r>
            <w:r w:rsidR="00F51623">
              <w:rPr>
                <w:noProof/>
                <w:webHidden/>
              </w:rPr>
              <w:t>2</w:t>
            </w:r>
            <w:r w:rsidR="009A527E" w:rsidRPr="003112D2">
              <w:rPr>
                <w:noProof/>
                <w:webHidden/>
              </w:rPr>
              <w:fldChar w:fldCharType="end"/>
            </w:r>
          </w:hyperlink>
        </w:p>
        <w:p w14:paraId="76491529" w14:textId="32DB7764" w:rsidR="009A527E" w:rsidRPr="003112D2" w:rsidRDefault="00887E62">
          <w:pPr>
            <w:pStyle w:val="Spistreci1"/>
            <w:rPr>
              <w:rFonts w:eastAsiaTheme="minorEastAsia"/>
              <w:noProof/>
              <w:lang w:eastAsia="pl-PL"/>
            </w:rPr>
          </w:pPr>
          <w:hyperlink w:anchor="_Toc136952665" w:history="1">
            <w:r w:rsidR="009A527E" w:rsidRPr="003112D2">
              <w:rPr>
                <w:rStyle w:val="Hipercze"/>
                <w:smallCaps/>
                <w:noProof/>
                <w:color w:val="auto"/>
              </w:rPr>
              <w:t>Warunki wstępne</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_Toc136952665 \h </w:instrText>
            </w:r>
            <w:r w:rsidR="009A527E" w:rsidRPr="003112D2">
              <w:rPr>
                <w:noProof/>
                <w:webHidden/>
              </w:rPr>
            </w:r>
            <w:r w:rsidR="009A527E" w:rsidRPr="003112D2">
              <w:rPr>
                <w:noProof/>
                <w:webHidden/>
              </w:rPr>
              <w:fldChar w:fldCharType="separate"/>
            </w:r>
            <w:r w:rsidR="00F51623">
              <w:rPr>
                <w:noProof/>
                <w:webHidden/>
              </w:rPr>
              <w:t>2</w:t>
            </w:r>
            <w:r w:rsidR="009A527E" w:rsidRPr="003112D2">
              <w:rPr>
                <w:noProof/>
                <w:webHidden/>
              </w:rPr>
              <w:fldChar w:fldCharType="end"/>
            </w:r>
          </w:hyperlink>
        </w:p>
        <w:p w14:paraId="6CBDC126" w14:textId="771DF868" w:rsidR="009A527E" w:rsidRPr="003112D2" w:rsidRDefault="00887E62">
          <w:pPr>
            <w:pStyle w:val="Spistreci2"/>
            <w:tabs>
              <w:tab w:val="left" w:pos="660"/>
              <w:tab w:val="right" w:leader="dot" w:pos="9016"/>
            </w:tabs>
            <w:rPr>
              <w:rFonts w:eastAsiaTheme="minorEastAsia"/>
              <w:noProof/>
              <w:lang w:eastAsia="pl-PL"/>
            </w:rPr>
          </w:pPr>
          <w:hyperlink w:anchor="_Toc136952666" w:history="1">
            <w:r w:rsidR="009A527E" w:rsidRPr="003112D2">
              <w:rPr>
                <w:rStyle w:val="Hipercze"/>
                <w:noProof/>
                <w:color w:val="auto"/>
              </w:rPr>
              <w:t>1.</w:t>
            </w:r>
            <w:r w:rsidR="009A527E" w:rsidRPr="003112D2">
              <w:rPr>
                <w:rFonts w:eastAsiaTheme="minorEastAsia"/>
                <w:noProof/>
                <w:lang w:eastAsia="pl-PL"/>
              </w:rPr>
              <w:tab/>
            </w:r>
            <w:r w:rsidR="009A527E" w:rsidRPr="003112D2">
              <w:rPr>
                <w:rStyle w:val="Hipercze"/>
                <w:noProof/>
                <w:color w:val="auto"/>
              </w:rPr>
              <w:t>Przedmiot przedsięwzięć objętych konkursem</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_Toc136952666 \h </w:instrText>
            </w:r>
            <w:r w:rsidR="009A527E" w:rsidRPr="003112D2">
              <w:rPr>
                <w:noProof/>
                <w:webHidden/>
              </w:rPr>
            </w:r>
            <w:r w:rsidR="009A527E" w:rsidRPr="003112D2">
              <w:rPr>
                <w:noProof/>
                <w:webHidden/>
              </w:rPr>
              <w:fldChar w:fldCharType="separate"/>
            </w:r>
            <w:r w:rsidR="00F51623">
              <w:rPr>
                <w:noProof/>
                <w:webHidden/>
              </w:rPr>
              <w:t>2</w:t>
            </w:r>
            <w:r w:rsidR="009A527E" w:rsidRPr="003112D2">
              <w:rPr>
                <w:noProof/>
                <w:webHidden/>
              </w:rPr>
              <w:fldChar w:fldCharType="end"/>
            </w:r>
          </w:hyperlink>
        </w:p>
        <w:p w14:paraId="46A7C75D" w14:textId="2F8D9239" w:rsidR="009A527E" w:rsidRPr="003112D2" w:rsidRDefault="00887E62">
          <w:pPr>
            <w:pStyle w:val="Spistreci2"/>
            <w:tabs>
              <w:tab w:val="left" w:pos="660"/>
              <w:tab w:val="right" w:leader="dot" w:pos="9016"/>
            </w:tabs>
            <w:rPr>
              <w:rFonts w:eastAsiaTheme="minorEastAsia"/>
              <w:noProof/>
              <w:lang w:eastAsia="pl-PL"/>
            </w:rPr>
          </w:pPr>
          <w:hyperlink w:anchor="_Toc136952667" w:history="1">
            <w:r w:rsidR="009A527E" w:rsidRPr="003112D2">
              <w:rPr>
                <w:rStyle w:val="Hipercze"/>
                <w:noProof/>
                <w:color w:val="auto"/>
              </w:rPr>
              <w:t>2.</w:t>
            </w:r>
            <w:r w:rsidR="009A527E" w:rsidRPr="003112D2">
              <w:rPr>
                <w:rFonts w:eastAsiaTheme="minorEastAsia"/>
                <w:noProof/>
                <w:lang w:eastAsia="pl-PL"/>
              </w:rPr>
              <w:tab/>
            </w:r>
            <w:r w:rsidR="009A527E" w:rsidRPr="003112D2">
              <w:rPr>
                <w:rStyle w:val="Hipercze"/>
                <w:noProof/>
                <w:color w:val="auto"/>
              </w:rPr>
              <w:t>Potencjalni Wnioskodawcy</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_Toc136952667 \h </w:instrText>
            </w:r>
            <w:r w:rsidR="009A527E" w:rsidRPr="003112D2">
              <w:rPr>
                <w:noProof/>
                <w:webHidden/>
              </w:rPr>
            </w:r>
            <w:r w:rsidR="009A527E" w:rsidRPr="003112D2">
              <w:rPr>
                <w:noProof/>
                <w:webHidden/>
              </w:rPr>
              <w:fldChar w:fldCharType="separate"/>
            </w:r>
            <w:r w:rsidR="00F51623">
              <w:rPr>
                <w:noProof/>
                <w:webHidden/>
              </w:rPr>
              <w:t>3</w:t>
            </w:r>
            <w:r w:rsidR="009A527E" w:rsidRPr="003112D2">
              <w:rPr>
                <w:noProof/>
                <w:webHidden/>
              </w:rPr>
              <w:fldChar w:fldCharType="end"/>
            </w:r>
          </w:hyperlink>
        </w:p>
        <w:p w14:paraId="2D981EAB" w14:textId="7D08C30B" w:rsidR="009A527E" w:rsidRPr="003112D2" w:rsidRDefault="00887E62">
          <w:pPr>
            <w:pStyle w:val="Spistreci2"/>
            <w:tabs>
              <w:tab w:val="left" w:pos="660"/>
              <w:tab w:val="right" w:leader="dot" w:pos="9016"/>
            </w:tabs>
            <w:rPr>
              <w:rFonts w:eastAsiaTheme="minorEastAsia"/>
              <w:noProof/>
              <w:lang w:eastAsia="pl-PL"/>
            </w:rPr>
          </w:pPr>
          <w:hyperlink w:anchor="_Toc136952668" w:history="1">
            <w:r w:rsidR="009A527E" w:rsidRPr="003112D2">
              <w:rPr>
                <w:rStyle w:val="Hipercze"/>
                <w:noProof/>
                <w:color w:val="auto"/>
              </w:rPr>
              <w:t>3.</w:t>
            </w:r>
            <w:r w:rsidR="009A527E" w:rsidRPr="003112D2">
              <w:rPr>
                <w:rFonts w:eastAsiaTheme="minorEastAsia"/>
                <w:noProof/>
                <w:lang w:eastAsia="pl-PL"/>
              </w:rPr>
              <w:tab/>
            </w:r>
            <w:r w:rsidR="009A527E" w:rsidRPr="003112D2">
              <w:rPr>
                <w:rStyle w:val="Hipercze"/>
                <w:noProof/>
                <w:color w:val="auto"/>
              </w:rPr>
              <w:t>Zakres rzeczowy przedsięwzięcia, kwalifikowalność wydatków</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_Toc136952668 \h </w:instrText>
            </w:r>
            <w:r w:rsidR="009A527E" w:rsidRPr="003112D2">
              <w:rPr>
                <w:noProof/>
                <w:webHidden/>
              </w:rPr>
            </w:r>
            <w:r w:rsidR="009A527E" w:rsidRPr="003112D2">
              <w:rPr>
                <w:noProof/>
                <w:webHidden/>
              </w:rPr>
              <w:fldChar w:fldCharType="separate"/>
            </w:r>
            <w:r w:rsidR="00F51623">
              <w:rPr>
                <w:noProof/>
                <w:webHidden/>
              </w:rPr>
              <w:t>3</w:t>
            </w:r>
            <w:r w:rsidR="009A527E" w:rsidRPr="003112D2">
              <w:rPr>
                <w:noProof/>
                <w:webHidden/>
              </w:rPr>
              <w:fldChar w:fldCharType="end"/>
            </w:r>
          </w:hyperlink>
        </w:p>
        <w:p w14:paraId="3FDD3E78" w14:textId="2FE611B8" w:rsidR="009A527E" w:rsidRPr="003112D2" w:rsidRDefault="00887E62">
          <w:pPr>
            <w:pStyle w:val="Spistreci1"/>
            <w:rPr>
              <w:rFonts w:eastAsiaTheme="minorEastAsia"/>
              <w:noProof/>
              <w:lang w:eastAsia="pl-PL"/>
            </w:rPr>
          </w:pPr>
          <w:hyperlink w:anchor="_Toc136952669" w:history="1">
            <w:r w:rsidR="009A527E" w:rsidRPr="003112D2">
              <w:rPr>
                <w:rStyle w:val="Hipercze"/>
                <w:smallCaps/>
                <w:noProof/>
                <w:color w:val="auto"/>
              </w:rPr>
              <w:t>Wspólne założenia przedsięwzięć</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_Toc136952669 \h </w:instrText>
            </w:r>
            <w:r w:rsidR="009A527E" w:rsidRPr="003112D2">
              <w:rPr>
                <w:noProof/>
                <w:webHidden/>
              </w:rPr>
            </w:r>
            <w:r w:rsidR="009A527E" w:rsidRPr="003112D2">
              <w:rPr>
                <w:noProof/>
                <w:webHidden/>
              </w:rPr>
              <w:fldChar w:fldCharType="separate"/>
            </w:r>
            <w:r w:rsidR="00F51623">
              <w:rPr>
                <w:noProof/>
                <w:webHidden/>
              </w:rPr>
              <w:t>4</w:t>
            </w:r>
            <w:r w:rsidR="009A527E" w:rsidRPr="003112D2">
              <w:rPr>
                <w:noProof/>
                <w:webHidden/>
              </w:rPr>
              <w:fldChar w:fldCharType="end"/>
            </w:r>
          </w:hyperlink>
        </w:p>
        <w:p w14:paraId="25B24BDA" w14:textId="447B91EC" w:rsidR="009A527E" w:rsidRPr="003112D2" w:rsidRDefault="00887E62">
          <w:pPr>
            <w:pStyle w:val="Spistreci2"/>
            <w:tabs>
              <w:tab w:val="left" w:pos="660"/>
              <w:tab w:val="right" w:leader="dot" w:pos="9016"/>
            </w:tabs>
            <w:rPr>
              <w:rFonts w:eastAsiaTheme="minorEastAsia"/>
              <w:noProof/>
              <w:lang w:eastAsia="pl-PL"/>
            </w:rPr>
          </w:pPr>
          <w:hyperlink w:anchor="_Toc136952670" w:history="1">
            <w:r w:rsidR="009A527E" w:rsidRPr="003112D2">
              <w:rPr>
                <w:rStyle w:val="Hipercze"/>
                <w:noProof/>
                <w:color w:val="auto"/>
              </w:rPr>
              <w:t>1.</w:t>
            </w:r>
            <w:r w:rsidR="009A527E" w:rsidRPr="003112D2">
              <w:rPr>
                <w:rFonts w:eastAsiaTheme="minorEastAsia"/>
                <w:noProof/>
                <w:lang w:eastAsia="pl-PL"/>
              </w:rPr>
              <w:tab/>
            </w:r>
            <w:r w:rsidR="009A527E" w:rsidRPr="003112D2">
              <w:rPr>
                <w:rStyle w:val="Hipercze"/>
                <w:noProof/>
                <w:color w:val="auto"/>
              </w:rPr>
              <w:t>Kryterium „Poprawność analizy finansowej” (zerojedynkowe)</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_Toc136952670 \h </w:instrText>
            </w:r>
            <w:r w:rsidR="009A527E" w:rsidRPr="003112D2">
              <w:rPr>
                <w:noProof/>
                <w:webHidden/>
              </w:rPr>
            </w:r>
            <w:r w:rsidR="009A527E" w:rsidRPr="003112D2">
              <w:rPr>
                <w:noProof/>
                <w:webHidden/>
              </w:rPr>
              <w:fldChar w:fldCharType="separate"/>
            </w:r>
            <w:r w:rsidR="00F51623">
              <w:rPr>
                <w:noProof/>
                <w:webHidden/>
              </w:rPr>
              <w:t>4</w:t>
            </w:r>
            <w:r w:rsidR="009A527E" w:rsidRPr="003112D2">
              <w:rPr>
                <w:noProof/>
                <w:webHidden/>
              </w:rPr>
              <w:fldChar w:fldCharType="end"/>
            </w:r>
          </w:hyperlink>
        </w:p>
        <w:p w14:paraId="44149DE5" w14:textId="3D998C84" w:rsidR="009A527E" w:rsidRPr="003112D2" w:rsidRDefault="00887E62" w:rsidP="0069403B">
          <w:pPr>
            <w:pStyle w:val="Spistreci3"/>
            <w:rPr>
              <w:rFonts w:eastAsiaTheme="minorEastAsia"/>
              <w:noProof/>
              <w:lang w:eastAsia="pl-PL"/>
            </w:rPr>
          </w:pPr>
          <w:hyperlink w:anchor="_Toc136952671" w:history="1">
            <w:r w:rsidR="009A527E" w:rsidRPr="003112D2">
              <w:rPr>
                <w:rStyle w:val="Hipercze"/>
                <w:noProof/>
                <w:color w:val="auto"/>
              </w:rPr>
              <w:t>A.</w:t>
            </w:r>
            <w:r w:rsidR="009A527E" w:rsidRPr="003112D2">
              <w:rPr>
                <w:rFonts w:eastAsiaTheme="minorEastAsia"/>
                <w:noProof/>
                <w:lang w:eastAsia="pl-PL"/>
              </w:rPr>
              <w:tab/>
            </w:r>
            <w:r w:rsidR="009A527E" w:rsidRPr="003112D2">
              <w:rPr>
                <w:rStyle w:val="Hipercze"/>
                <w:noProof/>
                <w:color w:val="auto"/>
              </w:rPr>
              <w:t>Analiza zapotrzebowania na przedsięwzięcie</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_Toc136952671 \h </w:instrText>
            </w:r>
            <w:r w:rsidR="009A527E" w:rsidRPr="003112D2">
              <w:rPr>
                <w:noProof/>
                <w:webHidden/>
              </w:rPr>
            </w:r>
            <w:r w:rsidR="009A527E" w:rsidRPr="003112D2">
              <w:rPr>
                <w:noProof/>
                <w:webHidden/>
              </w:rPr>
              <w:fldChar w:fldCharType="separate"/>
            </w:r>
            <w:r w:rsidR="00F51623">
              <w:rPr>
                <w:noProof/>
                <w:webHidden/>
              </w:rPr>
              <w:t>4</w:t>
            </w:r>
            <w:r w:rsidR="009A527E" w:rsidRPr="003112D2">
              <w:rPr>
                <w:noProof/>
                <w:webHidden/>
              </w:rPr>
              <w:fldChar w:fldCharType="end"/>
            </w:r>
          </w:hyperlink>
        </w:p>
        <w:p w14:paraId="65FA40C4" w14:textId="0A237165" w:rsidR="009A527E" w:rsidRPr="003112D2" w:rsidRDefault="00887E62" w:rsidP="0069403B">
          <w:pPr>
            <w:pStyle w:val="Spistreci3"/>
            <w:rPr>
              <w:rFonts w:eastAsiaTheme="minorEastAsia"/>
              <w:noProof/>
              <w:lang w:eastAsia="pl-PL"/>
            </w:rPr>
          </w:pPr>
          <w:hyperlink w:anchor="_Toc136952672" w:history="1">
            <w:r w:rsidR="009A527E" w:rsidRPr="003112D2">
              <w:rPr>
                <w:rStyle w:val="Hipercze"/>
                <w:noProof/>
                <w:color w:val="auto"/>
              </w:rPr>
              <w:t>B.</w:t>
            </w:r>
            <w:r w:rsidR="009A527E" w:rsidRPr="003112D2">
              <w:rPr>
                <w:rFonts w:eastAsiaTheme="minorEastAsia"/>
                <w:noProof/>
                <w:lang w:eastAsia="pl-PL"/>
              </w:rPr>
              <w:tab/>
            </w:r>
            <w:r w:rsidR="009A527E" w:rsidRPr="003112D2">
              <w:rPr>
                <w:rStyle w:val="Hipercze"/>
                <w:noProof/>
                <w:color w:val="auto"/>
              </w:rPr>
              <w:t>Uzasadnienie wyboru zakresu przedsięwzięcia do realizacji</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_Toc136952672 \h </w:instrText>
            </w:r>
            <w:r w:rsidR="009A527E" w:rsidRPr="003112D2">
              <w:rPr>
                <w:noProof/>
                <w:webHidden/>
              </w:rPr>
            </w:r>
            <w:r w:rsidR="009A527E" w:rsidRPr="003112D2">
              <w:rPr>
                <w:noProof/>
                <w:webHidden/>
              </w:rPr>
              <w:fldChar w:fldCharType="separate"/>
            </w:r>
            <w:r w:rsidR="00F51623">
              <w:rPr>
                <w:noProof/>
                <w:webHidden/>
              </w:rPr>
              <w:t>5</w:t>
            </w:r>
            <w:r w:rsidR="009A527E" w:rsidRPr="003112D2">
              <w:rPr>
                <w:noProof/>
                <w:webHidden/>
              </w:rPr>
              <w:fldChar w:fldCharType="end"/>
            </w:r>
          </w:hyperlink>
        </w:p>
        <w:p w14:paraId="4C939298" w14:textId="5AB5731B" w:rsidR="009A527E" w:rsidRPr="003112D2" w:rsidRDefault="00887E62" w:rsidP="0069403B">
          <w:pPr>
            <w:pStyle w:val="Spistreci3"/>
            <w:rPr>
              <w:rFonts w:eastAsiaTheme="minorEastAsia"/>
              <w:noProof/>
              <w:lang w:eastAsia="pl-PL"/>
            </w:rPr>
          </w:pPr>
          <w:hyperlink w:anchor="_Toc136952673" w:history="1">
            <w:r w:rsidR="009A527E" w:rsidRPr="003112D2">
              <w:rPr>
                <w:rStyle w:val="Hipercze"/>
                <w:noProof/>
                <w:color w:val="auto"/>
              </w:rPr>
              <w:t>C.</w:t>
            </w:r>
            <w:r w:rsidR="009A527E" w:rsidRPr="003112D2">
              <w:rPr>
                <w:rFonts w:eastAsiaTheme="minorEastAsia"/>
                <w:noProof/>
                <w:lang w:eastAsia="pl-PL"/>
              </w:rPr>
              <w:tab/>
            </w:r>
            <w:r w:rsidR="009A527E" w:rsidRPr="003112D2">
              <w:rPr>
                <w:rStyle w:val="Hipercze"/>
                <w:noProof/>
                <w:color w:val="auto"/>
              </w:rPr>
              <w:t>Analiza operacyjna</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_Toc136952673 \h </w:instrText>
            </w:r>
            <w:r w:rsidR="009A527E" w:rsidRPr="003112D2">
              <w:rPr>
                <w:noProof/>
                <w:webHidden/>
              </w:rPr>
            </w:r>
            <w:r w:rsidR="009A527E" w:rsidRPr="003112D2">
              <w:rPr>
                <w:noProof/>
                <w:webHidden/>
              </w:rPr>
              <w:fldChar w:fldCharType="separate"/>
            </w:r>
            <w:r w:rsidR="00F51623">
              <w:rPr>
                <w:noProof/>
                <w:webHidden/>
              </w:rPr>
              <w:t>7</w:t>
            </w:r>
            <w:r w:rsidR="009A527E" w:rsidRPr="003112D2">
              <w:rPr>
                <w:noProof/>
                <w:webHidden/>
              </w:rPr>
              <w:fldChar w:fldCharType="end"/>
            </w:r>
          </w:hyperlink>
        </w:p>
        <w:p w14:paraId="546BA091" w14:textId="3DF35B2E" w:rsidR="009A527E" w:rsidRPr="003112D2" w:rsidRDefault="00887E62" w:rsidP="0069403B">
          <w:pPr>
            <w:pStyle w:val="Spistreci3"/>
            <w:rPr>
              <w:rFonts w:eastAsiaTheme="minorEastAsia"/>
              <w:noProof/>
              <w:lang w:eastAsia="pl-PL"/>
            </w:rPr>
          </w:pPr>
          <w:hyperlink w:anchor="_Toc136952674" w:history="1">
            <w:r w:rsidR="009A527E" w:rsidRPr="003112D2">
              <w:rPr>
                <w:rStyle w:val="Hipercze"/>
                <w:noProof/>
                <w:color w:val="auto"/>
              </w:rPr>
              <w:t>D.</w:t>
            </w:r>
            <w:r w:rsidR="009A527E" w:rsidRPr="003112D2">
              <w:rPr>
                <w:rFonts w:eastAsiaTheme="minorEastAsia"/>
                <w:noProof/>
                <w:lang w:eastAsia="pl-PL"/>
              </w:rPr>
              <w:tab/>
            </w:r>
            <w:r w:rsidR="009A527E" w:rsidRPr="003112D2">
              <w:rPr>
                <w:rStyle w:val="Hipercze"/>
                <w:noProof/>
                <w:color w:val="auto"/>
              </w:rPr>
              <w:t>Jakościowa analiza ekonomiczna wraz z analizą parametrów emisyjności</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_Toc136952674 \h </w:instrText>
            </w:r>
            <w:r w:rsidR="009A527E" w:rsidRPr="003112D2">
              <w:rPr>
                <w:noProof/>
                <w:webHidden/>
              </w:rPr>
            </w:r>
            <w:r w:rsidR="009A527E" w:rsidRPr="003112D2">
              <w:rPr>
                <w:noProof/>
                <w:webHidden/>
              </w:rPr>
              <w:fldChar w:fldCharType="separate"/>
            </w:r>
            <w:r w:rsidR="00F51623">
              <w:rPr>
                <w:noProof/>
                <w:webHidden/>
              </w:rPr>
              <w:t>9</w:t>
            </w:r>
            <w:r w:rsidR="009A527E" w:rsidRPr="003112D2">
              <w:rPr>
                <w:noProof/>
                <w:webHidden/>
              </w:rPr>
              <w:fldChar w:fldCharType="end"/>
            </w:r>
          </w:hyperlink>
        </w:p>
        <w:p w14:paraId="3FFBC23A" w14:textId="3C96D39E" w:rsidR="009A527E" w:rsidRPr="003112D2" w:rsidRDefault="00887E62" w:rsidP="0069403B">
          <w:pPr>
            <w:pStyle w:val="Spistreci3"/>
            <w:rPr>
              <w:rFonts w:eastAsiaTheme="minorEastAsia"/>
              <w:noProof/>
              <w:lang w:eastAsia="pl-PL"/>
            </w:rPr>
          </w:pPr>
          <w:hyperlink w:anchor="_Toc136952675" w:history="1">
            <w:r w:rsidR="009A527E" w:rsidRPr="003112D2">
              <w:rPr>
                <w:rStyle w:val="Hipercze"/>
                <w:noProof/>
                <w:color w:val="auto"/>
              </w:rPr>
              <w:t>E.</w:t>
            </w:r>
            <w:r w:rsidR="009A527E" w:rsidRPr="003112D2">
              <w:rPr>
                <w:rFonts w:eastAsiaTheme="minorEastAsia"/>
                <w:noProof/>
                <w:lang w:eastAsia="pl-PL"/>
              </w:rPr>
              <w:tab/>
            </w:r>
            <w:r w:rsidR="009A527E" w:rsidRPr="003112D2">
              <w:rPr>
                <w:rStyle w:val="Hipercze"/>
                <w:noProof/>
                <w:color w:val="auto"/>
              </w:rPr>
              <w:t>Udowodnienie trwałości finansowej i instytucjonalnej</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_Toc136952675 \h </w:instrText>
            </w:r>
            <w:r w:rsidR="009A527E" w:rsidRPr="003112D2">
              <w:rPr>
                <w:noProof/>
                <w:webHidden/>
              </w:rPr>
            </w:r>
            <w:r w:rsidR="009A527E" w:rsidRPr="003112D2">
              <w:rPr>
                <w:noProof/>
                <w:webHidden/>
              </w:rPr>
              <w:fldChar w:fldCharType="separate"/>
            </w:r>
            <w:r w:rsidR="00F51623">
              <w:rPr>
                <w:noProof/>
                <w:webHidden/>
              </w:rPr>
              <w:t>9</w:t>
            </w:r>
            <w:r w:rsidR="009A527E" w:rsidRPr="003112D2">
              <w:rPr>
                <w:noProof/>
                <w:webHidden/>
              </w:rPr>
              <w:fldChar w:fldCharType="end"/>
            </w:r>
          </w:hyperlink>
        </w:p>
        <w:p w14:paraId="385705F6" w14:textId="61D106B5" w:rsidR="009A527E" w:rsidRPr="003112D2" w:rsidRDefault="00887E62">
          <w:pPr>
            <w:pStyle w:val="Spistreci2"/>
            <w:tabs>
              <w:tab w:val="left" w:pos="660"/>
              <w:tab w:val="right" w:leader="dot" w:pos="9016"/>
            </w:tabs>
            <w:rPr>
              <w:rFonts w:eastAsiaTheme="minorEastAsia"/>
              <w:noProof/>
              <w:lang w:eastAsia="pl-PL"/>
            </w:rPr>
          </w:pPr>
          <w:hyperlink w:anchor="_Toc136952676" w:history="1">
            <w:r w:rsidR="009A527E" w:rsidRPr="003112D2">
              <w:rPr>
                <w:rStyle w:val="Hipercze"/>
                <w:noProof/>
                <w:color w:val="auto"/>
              </w:rPr>
              <w:t>2.</w:t>
            </w:r>
            <w:r w:rsidR="009A527E" w:rsidRPr="003112D2">
              <w:rPr>
                <w:rFonts w:eastAsiaTheme="minorEastAsia"/>
                <w:noProof/>
                <w:lang w:eastAsia="pl-PL"/>
              </w:rPr>
              <w:tab/>
            </w:r>
            <w:r w:rsidR="009A527E" w:rsidRPr="003112D2">
              <w:rPr>
                <w:rStyle w:val="Hipercze"/>
                <w:noProof/>
                <w:color w:val="auto"/>
              </w:rPr>
              <w:t>Kryterium „Zmniejszenie emisji w niższych warstwach atmosfery oraz CO</w:t>
            </w:r>
            <w:r w:rsidR="009A527E" w:rsidRPr="003112D2">
              <w:rPr>
                <w:rStyle w:val="Hipercze"/>
                <w:noProof/>
                <w:color w:val="auto"/>
                <w:vertAlign w:val="subscript"/>
              </w:rPr>
              <w:t xml:space="preserve">2 </w:t>
            </w:r>
            <w:r w:rsidR="009A527E" w:rsidRPr="003112D2">
              <w:rPr>
                <w:rStyle w:val="Hipercze"/>
                <w:noProof/>
                <w:color w:val="auto"/>
              </w:rPr>
              <w:t>w wyniku realizacji przedsięwzięcia” (punktowane)</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_Toc136952676 \h </w:instrText>
            </w:r>
            <w:r w:rsidR="009A527E" w:rsidRPr="003112D2">
              <w:rPr>
                <w:noProof/>
                <w:webHidden/>
              </w:rPr>
            </w:r>
            <w:r w:rsidR="009A527E" w:rsidRPr="003112D2">
              <w:rPr>
                <w:noProof/>
                <w:webHidden/>
              </w:rPr>
              <w:fldChar w:fldCharType="separate"/>
            </w:r>
            <w:r w:rsidR="00F51623">
              <w:rPr>
                <w:noProof/>
                <w:webHidden/>
              </w:rPr>
              <w:t>10</w:t>
            </w:r>
            <w:r w:rsidR="009A527E" w:rsidRPr="003112D2">
              <w:rPr>
                <w:noProof/>
                <w:webHidden/>
              </w:rPr>
              <w:fldChar w:fldCharType="end"/>
            </w:r>
          </w:hyperlink>
        </w:p>
        <w:p w14:paraId="7D8C6E81" w14:textId="52BEFCB2" w:rsidR="009A527E" w:rsidRPr="003112D2" w:rsidRDefault="00887E62" w:rsidP="0069403B">
          <w:pPr>
            <w:pStyle w:val="Spistreci3"/>
            <w:rPr>
              <w:rFonts w:eastAsiaTheme="minorEastAsia"/>
              <w:noProof/>
              <w:lang w:eastAsia="pl-PL"/>
            </w:rPr>
          </w:pPr>
          <w:hyperlink w:anchor="_Toc136952677" w:history="1">
            <w:r w:rsidR="009A527E" w:rsidRPr="003112D2">
              <w:rPr>
                <w:rStyle w:val="Hipercze"/>
                <w:noProof/>
                <w:color w:val="auto"/>
              </w:rPr>
              <w:t>A.</w:t>
            </w:r>
            <w:r w:rsidR="009A527E" w:rsidRPr="003112D2">
              <w:rPr>
                <w:rFonts w:eastAsiaTheme="minorEastAsia"/>
                <w:noProof/>
                <w:lang w:eastAsia="pl-PL"/>
              </w:rPr>
              <w:tab/>
            </w:r>
            <w:r w:rsidR="009A527E" w:rsidRPr="003112D2">
              <w:rPr>
                <w:rStyle w:val="Hipercze"/>
                <w:noProof/>
                <w:color w:val="auto"/>
              </w:rPr>
              <w:t>Szablon kalkulatora wskaźnika redukcji emisji na potrzeby kryterium</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_Toc136952677 \h </w:instrText>
            </w:r>
            <w:r w:rsidR="009A527E" w:rsidRPr="003112D2">
              <w:rPr>
                <w:noProof/>
                <w:webHidden/>
              </w:rPr>
            </w:r>
            <w:r w:rsidR="009A527E" w:rsidRPr="003112D2">
              <w:rPr>
                <w:noProof/>
                <w:webHidden/>
              </w:rPr>
              <w:fldChar w:fldCharType="separate"/>
            </w:r>
            <w:r w:rsidR="00F51623">
              <w:rPr>
                <w:noProof/>
                <w:webHidden/>
              </w:rPr>
              <w:t>10</w:t>
            </w:r>
            <w:r w:rsidR="009A527E" w:rsidRPr="003112D2">
              <w:rPr>
                <w:noProof/>
                <w:webHidden/>
              </w:rPr>
              <w:fldChar w:fldCharType="end"/>
            </w:r>
          </w:hyperlink>
        </w:p>
        <w:p w14:paraId="0F78374A" w14:textId="6F2A1AAB" w:rsidR="009A527E" w:rsidRPr="003112D2" w:rsidRDefault="00887E62" w:rsidP="0069403B">
          <w:pPr>
            <w:pStyle w:val="Spistreci3"/>
            <w:rPr>
              <w:rFonts w:eastAsiaTheme="minorEastAsia"/>
              <w:noProof/>
              <w:lang w:eastAsia="pl-PL"/>
            </w:rPr>
          </w:pPr>
          <w:hyperlink w:anchor="_Toc136952678" w:history="1">
            <w:r w:rsidR="009A527E" w:rsidRPr="003112D2">
              <w:rPr>
                <w:rStyle w:val="Hipercze"/>
                <w:noProof/>
                <w:color w:val="auto"/>
              </w:rPr>
              <w:t>B.</w:t>
            </w:r>
            <w:r w:rsidR="009A527E" w:rsidRPr="003112D2">
              <w:rPr>
                <w:rFonts w:eastAsiaTheme="minorEastAsia"/>
                <w:noProof/>
                <w:lang w:eastAsia="pl-PL"/>
              </w:rPr>
              <w:tab/>
            </w:r>
            <w:r w:rsidR="009A527E" w:rsidRPr="003112D2">
              <w:rPr>
                <w:rStyle w:val="Hipercze"/>
                <w:noProof/>
                <w:color w:val="auto"/>
              </w:rPr>
              <w:t>Case study</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_Toc136952678 \h </w:instrText>
            </w:r>
            <w:r w:rsidR="009A527E" w:rsidRPr="003112D2">
              <w:rPr>
                <w:noProof/>
                <w:webHidden/>
              </w:rPr>
            </w:r>
            <w:r w:rsidR="009A527E" w:rsidRPr="003112D2">
              <w:rPr>
                <w:noProof/>
                <w:webHidden/>
              </w:rPr>
              <w:fldChar w:fldCharType="separate"/>
            </w:r>
            <w:r w:rsidR="00F51623">
              <w:rPr>
                <w:noProof/>
                <w:webHidden/>
              </w:rPr>
              <w:t>11</w:t>
            </w:r>
            <w:r w:rsidR="009A527E" w:rsidRPr="003112D2">
              <w:rPr>
                <w:noProof/>
                <w:webHidden/>
              </w:rPr>
              <w:fldChar w:fldCharType="end"/>
            </w:r>
          </w:hyperlink>
        </w:p>
        <w:p w14:paraId="11EDBF11" w14:textId="2B978B4A" w:rsidR="009A527E" w:rsidRPr="003112D2" w:rsidRDefault="00887E62">
          <w:pPr>
            <w:pStyle w:val="Spistreci2"/>
            <w:tabs>
              <w:tab w:val="left" w:pos="660"/>
              <w:tab w:val="right" w:leader="dot" w:pos="9016"/>
            </w:tabs>
            <w:rPr>
              <w:rFonts w:eastAsiaTheme="minorEastAsia"/>
              <w:noProof/>
              <w:lang w:eastAsia="pl-PL"/>
            </w:rPr>
          </w:pPr>
          <w:hyperlink w:anchor="_Toc136952679" w:history="1">
            <w:r w:rsidR="009A527E" w:rsidRPr="003112D2">
              <w:rPr>
                <w:rStyle w:val="Hipercze"/>
                <w:noProof/>
                <w:color w:val="auto"/>
              </w:rPr>
              <w:t>3.</w:t>
            </w:r>
            <w:r w:rsidR="009A527E" w:rsidRPr="003112D2">
              <w:rPr>
                <w:rFonts w:eastAsiaTheme="minorEastAsia"/>
                <w:noProof/>
                <w:lang w:eastAsia="pl-PL"/>
              </w:rPr>
              <w:tab/>
            </w:r>
            <w:r w:rsidR="009A527E" w:rsidRPr="003112D2">
              <w:rPr>
                <w:rStyle w:val="Hipercze"/>
                <w:noProof/>
                <w:color w:val="auto"/>
              </w:rPr>
              <w:t>Zgodność z zasadą DNSH</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_Toc136952679 \h </w:instrText>
            </w:r>
            <w:r w:rsidR="009A527E" w:rsidRPr="003112D2">
              <w:rPr>
                <w:noProof/>
                <w:webHidden/>
              </w:rPr>
            </w:r>
            <w:r w:rsidR="009A527E" w:rsidRPr="003112D2">
              <w:rPr>
                <w:noProof/>
                <w:webHidden/>
              </w:rPr>
              <w:fldChar w:fldCharType="separate"/>
            </w:r>
            <w:r w:rsidR="00F51623">
              <w:rPr>
                <w:noProof/>
                <w:webHidden/>
              </w:rPr>
              <w:t>12</w:t>
            </w:r>
            <w:r w:rsidR="009A527E" w:rsidRPr="003112D2">
              <w:rPr>
                <w:noProof/>
                <w:webHidden/>
              </w:rPr>
              <w:fldChar w:fldCharType="end"/>
            </w:r>
          </w:hyperlink>
        </w:p>
        <w:p w14:paraId="68C7B6F4" w14:textId="0EB516E4" w:rsidR="009A527E" w:rsidRPr="003112D2" w:rsidRDefault="00887E62">
          <w:pPr>
            <w:pStyle w:val="Spistreci2"/>
            <w:tabs>
              <w:tab w:val="left" w:pos="660"/>
              <w:tab w:val="right" w:leader="dot" w:pos="9016"/>
            </w:tabs>
            <w:rPr>
              <w:rFonts w:eastAsiaTheme="minorEastAsia"/>
              <w:noProof/>
              <w:lang w:eastAsia="pl-PL"/>
            </w:rPr>
          </w:pPr>
          <w:hyperlink w:anchor="_Toc136952680" w:history="1">
            <w:r w:rsidR="009A527E" w:rsidRPr="003112D2">
              <w:rPr>
                <w:rStyle w:val="Hipercze"/>
                <w:noProof/>
                <w:color w:val="auto"/>
              </w:rPr>
              <w:t>4.</w:t>
            </w:r>
            <w:r w:rsidR="009A527E" w:rsidRPr="003112D2">
              <w:rPr>
                <w:rFonts w:eastAsiaTheme="minorEastAsia"/>
                <w:noProof/>
                <w:lang w:eastAsia="pl-PL"/>
              </w:rPr>
              <w:tab/>
            </w:r>
            <w:r w:rsidR="009A527E" w:rsidRPr="003112D2">
              <w:rPr>
                <w:rStyle w:val="Hipercze"/>
                <w:noProof/>
                <w:color w:val="auto"/>
              </w:rPr>
              <w:t>Zgodność z zasadą zrównoważonego rozwoju</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_Toc136952680 \h </w:instrText>
            </w:r>
            <w:r w:rsidR="009A527E" w:rsidRPr="003112D2">
              <w:rPr>
                <w:noProof/>
                <w:webHidden/>
              </w:rPr>
            </w:r>
            <w:r w:rsidR="009A527E" w:rsidRPr="003112D2">
              <w:rPr>
                <w:noProof/>
                <w:webHidden/>
              </w:rPr>
              <w:fldChar w:fldCharType="separate"/>
            </w:r>
            <w:r w:rsidR="00F51623">
              <w:rPr>
                <w:noProof/>
                <w:webHidden/>
              </w:rPr>
              <w:t>13</w:t>
            </w:r>
            <w:r w:rsidR="009A527E" w:rsidRPr="003112D2">
              <w:rPr>
                <w:noProof/>
                <w:webHidden/>
              </w:rPr>
              <w:fldChar w:fldCharType="end"/>
            </w:r>
          </w:hyperlink>
        </w:p>
        <w:p w14:paraId="50C2AF4B" w14:textId="0E7781BB" w:rsidR="009A527E" w:rsidRPr="003112D2" w:rsidRDefault="00887E62">
          <w:pPr>
            <w:pStyle w:val="Spistreci2"/>
            <w:tabs>
              <w:tab w:val="left" w:pos="660"/>
              <w:tab w:val="right" w:leader="dot" w:pos="9016"/>
            </w:tabs>
            <w:rPr>
              <w:rFonts w:eastAsiaTheme="minorEastAsia"/>
              <w:noProof/>
              <w:lang w:eastAsia="pl-PL"/>
            </w:rPr>
          </w:pPr>
          <w:hyperlink w:anchor="_Toc136952681" w:history="1">
            <w:r w:rsidR="009A527E" w:rsidRPr="003112D2">
              <w:rPr>
                <w:rStyle w:val="Hipercze"/>
                <w:noProof/>
                <w:color w:val="auto"/>
              </w:rPr>
              <w:t>5.</w:t>
            </w:r>
            <w:r w:rsidR="009A527E" w:rsidRPr="003112D2">
              <w:rPr>
                <w:rFonts w:eastAsiaTheme="minorEastAsia"/>
                <w:noProof/>
                <w:lang w:eastAsia="pl-PL"/>
              </w:rPr>
              <w:tab/>
            </w:r>
            <w:r w:rsidR="009A527E" w:rsidRPr="003112D2">
              <w:rPr>
                <w:rStyle w:val="Hipercze"/>
                <w:noProof/>
                <w:color w:val="auto"/>
              </w:rPr>
              <w:t>Informacja dot. występowania pomocy publicznej</w:t>
            </w:r>
            <w:r w:rsidR="009A527E" w:rsidRPr="003112D2">
              <w:rPr>
                <w:noProof/>
                <w:webHidden/>
              </w:rPr>
              <w:tab/>
            </w:r>
            <w:r w:rsidR="009A527E" w:rsidRPr="003112D2">
              <w:rPr>
                <w:noProof/>
                <w:webHidden/>
              </w:rPr>
              <w:fldChar w:fldCharType="begin"/>
            </w:r>
            <w:r w:rsidR="009A527E" w:rsidRPr="003112D2">
              <w:rPr>
                <w:noProof/>
                <w:webHidden/>
              </w:rPr>
              <w:instrText xml:space="preserve"> PAGEREF _Toc136952681 \h </w:instrText>
            </w:r>
            <w:r w:rsidR="009A527E" w:rsidRPr="003112D2">
              <w:rPr>
                <w:noProof/>
                <w:webHidden/>
              </w:rPr>
            </w:r>
            <w:r w:rsidR="009A527E" w:rsidRPr="003112D2">
              <w:rPr>
                <w:noProof/>
                <w:webHidden/>
              </w:rPr>
              <w:fldChar w:fldCharType="separate"/>
            </w:r>
            <w:r w:rsidR="00F51623">
              <w:rPr>
                <w:noProof/>
                <w:webHidden/>
              </w:rPr>
              <w:t>14</w:t>
            </w:r>
            <w:r w:rsidR="009A527E" w:rsidRPr="003112D2">
              <w:rPr>
                <w:noProof/>
                <w:webHidden/>
              </w:rPr>
              <w:fldChar w:fldCharType="end"/>
            </w:r>
          </w:hyperlink>
        </w:p>
        <w:p w14:paraId="3789003D" w14:textId="02AC20B9" w:rsidR="00FA46DA" w:rsidRPr="003112D2" w:rsidRDefault="00B36095">
          <w:r w:rsidRPr="003112D2">
            <w:rPr>
              <w:b/>
              <w:bCs/>
            </w:rPr>
            <w:fldChar w:fldCharType="end"/>
          </w:r>
        </w:p>
      </w:sdtContent>
    </w:sdt>
    <w:p w14:paraId="1DDAE31A" w14:textId="77777777" w:rsidR="00FA46DA" w:rsidRPr="003112D2" w:rsidRDefault="00FA46DA" w:rsidP="002262F5"/>
    <w:p w14:paraId="71472619" w14:textId="77777777" w:rsidR="00FA46DA" w:rsidRPr="003112D2" w:rsidRDefault="00FA46DA">
      <w:r w:rsidRPr="003112D2">
        <w:br w:type="page"/>
      </w:r>
    </w:p>
    <w:p w14:paraId="518D7C20" w14:textId="77777777" w:rsidR="008C1C02" w:rsidRPr="003112D2" w:rsidRDefault="008C1C02" w:rsidP="002E6D8B">
      <w:pPr>
        <w:pStyle w:val="Nagwek1"/>
        <w:rPr>
          <w:smallCaps/>
          <w:color w:val="auto"/>
        </w:rPr>
      </w:pPr>
      <w:bookmarkStart w:id="2" w:name="_Toc136952664"/>
      <w:r w:rsidRPr="003112D2">
        <w:rPr>
          <w:smallCaps/>
          <w:color w:val="auto"/>
        </w:rPr>
        <w:lastRenderedPageBreak/>
        <w:t>Cel konkursu</w:t>
      </w:r>
      <w:bookmarkEnd w:id="2"/>
    </w:p>
    <w:p w14:paraId="3BDFB8F5" w14:textId="278A78BD" w:rsidR="008C1C02" w:rsidRPr="003112D2" w:rsidRDefault="00FF33A0" w:rsidP="008C1C02">
      <w:pPr>
        <w:ind w:left="360"/>
        <w:jc w:val="both"/>
      </w:pPr>
      <w:r w:rsidRPr="003112D2">
        <w:t>Ograniczenie wykluczenia transportowego poprzez inwestycję w zeroemisyjny tabor autobusowy na nowoutworzonych oraz istniejących liniach.</w:t>
      </w:r>
    </w:p>
    <w:p w14:paraId="10C766F9" w14:textId="77777777" w:rsidR="002262F5" w:rsidRPr="003112D2" w:rsidRDefault="008C1C02" w:rsidP="002E6D8B">
      <w:pPr>
        <w:pStyle w:val="Nagwek1"/>
        <w:rPr>
          <w:smallCaps/>
          <w:color w:val="auto"/>
        </w:rPr>
      </w:pPr>
      <w:bookmarkStart w:id="3" w:name="_Toc136952665"/>
      <w:r w:rsidRPr="003112D2">
        <w:rPr>
          <w:smallCaps/>
          <w:color w:val="auto"/>
        </w:rPr>
        <w:t>Warunki wstępne</w:t>
      </w:r>
      <w:bookmarkEnd w:id="3"/>
    </w:p>
    <w:p w14:paraId="4CC61B60" w14:textId="77777777" w:rsidR="002262F5" w:rsidRPr="003112D2" w:rsidRDefault="004F699A" w:rsidP="002E6D8B">
      <w:pPr>
        <w:pStyle w:val="Nagwek2"/>
        <w:numPr>
          <w:ilvl w:val="0"/>
          <w:numId w:val="50"/>
        </w:numPr>
        <w:rPr>
          <w:color w:val="auto"/>
        </w:rPr>
      </w:pPr>
      <w:bookmarkStart w:id="4" w:name="_Toc136952666"/>
      <w:r w:rsidRPr="003112D2">
        <w:rPr>
          <w:color w:val="auto"/>
        </w:rPr>
        <w:t xml:space="preserve">Przedmiot </w:t>
      </w:r>
      <w:r w:rsidR="00C60C13" w:rsidRPr="003112D2">
        <w:rPr>
          <w:color w:val="auto"/>
        </w:rPr>
        <w:t>przedsięwzięć</w:t>
      </w:r>
      <w:r w:rsidRPr="003112D2">
        <w:rPr>
          <w:color w:val="auto"/>
        </w:rPr>
        <w:t xml:space="preserve"> objętych konkursem</w:t>
      </w:r>
      <w:bookmarkEnd w:id="4"/>
    </w:p>
    <w:p w14:paraId="6714FF33" w14:textId="24DF4162" w:rsidR="007E651F" w:rsidRPr="003112D2" w:rsidRDefault="0054530F" w:rsidP="00334559">
      <w:pPr>
        <w:ind w:left="360"/>
        <w:jc w:val="both"/>
      </w:pPr>
      <w:r w:rsidRPr="003112D2">
        <w:t>Wsparcie</w:t>
      </w:r>
      <w:r w:rsidR="00BC41EA" w:rsidRPr="003112D2">
        <w:t xml:space="preserve"> mogą uzyskać</w:t>
      </w:r>
      <w:r w:rsidR="00C60C13" w:rsidRPr="003112D2">
        <w:t xml:space="preserve"> przedsięwzięcia</w:t>
      </w:r>
      <w:r w:rsidR="00BC41EA" w:rsidRPr="003112D2">
        <w:t xml:space="preserve"> dotyczące zakupu zeroemisyjnego taboru autobusowego</w:t>
      </w:r>
      <w:r w:rsidR="00DF179D" w:rsidRPr="003112D2">
        <w:t xml:space="preserve"> (elektrycznego, wodorowego)</w:t>
      </w:r>
      <w:r w:rsidR="00BC41EA" w:rsidRPr="003112D2">
        <w:t xml:space="preserve"> </w:t>
      </w:r>
      <w:r w:rsidR="00EA25E7" w:rsidRPr="003112D2">
        <w:t>wraz z niezbędną infrastrukturą ładowania/tankowania</w:t>
      </w:r>
      <w:r w:rsidR="008B026D" w:rsidRPr="003112D2">
        <w:t xml:space="preserve"> </w:t>
      </w:r>
      <w:r w:rsidR="002B6109" w:rsidRPr="003112D2">
        <w:t>w celu</w:t>
      </w:r>
      <w:r w:rsidR="00BC41EA" w:rsidRPr="003112D2">
        <w:t>:</w:t>
      </w:r>
    </w:p>
    <w:p w14:paraId="05E33CF4" w14:textId="0E11A0EA" w:rsidR="008760AF" w:rsidRDefault="00D06CCA" w:rsidP="003931C2">
      <w:pPr>
        <w:pStyle w:val="Akapitzlist"/>
        <w:numPr>
          <w:ilvl w:val="0"/>
          <w:numId w:val="63"/>
        </w:numPr>
      </w:pPr>
      <w:r w:rsidRPr="003112D2">
        <w:t>obsługi nowoutworzonych</w:t>
      </w:r>
      <w:r w:rsidR="00334559">
        <w:t xml:space="preserve"> pozamiejskich </w:t>
      </w:r>
      <w:r w:rsidR="00293CF7" w:rsidRPr="00293CF7">
        <w:t xml:space="preserve"> </w:t>
      </w:r>
      <w:r w:rsidR="00B62871">
        <w:t xml:space="preserve">linii </w:t>
      </w:r>
      <w:r w:rsidR="00293CF7">
        <w:t xml:space="preserve"> autobusowych</w:t>
      </w:r>
      <w:r w:rsidR="00334559">
        <w:rPr>
          <w:rFonts w:cs="Calibri"/>
          <w:szCs w:val="20"/>
        </w:rPr>
        <w:t>, w tym przewozów łączących</w:t>
      </w:r>
      <w:r w:rsidR="00B62871" w:rsidRPr="005739B3">
        <w:rPr>
          <w:rFonts w:cs="Calibri"/>
          <w:szCs w:val="20"/>
        </w:rPr>
        <w:t xml:space="preserve"> mia</w:t>
      </w:r>
      <w:r w:rsidR="00B62871">
        <w:rPr>
          <w:rFonts w:cs="Calibri"/>
          <w:szCs w:val="20"/>
        </w:rPr>
        <w:t xml:space="preserve">sto, gminę sąsiadującą i </w:t>
      </w:r>
      <w:r w:rsidR="00B62871" w:rsidRPr="005739B3">
        <w:rPr>
          <w:rFonts w:cs="Calibri"/>
          <w:szCs w:val="20"/>
        </w:rPr>
        <w:t>co najmniej jedną gminę inną niż sąsiadująca</w:t>
      </w:r>
      <w:r w:rsidR="00B62871">
        <w:rPr>
          <w:rFonts w:cs="Calibri"/>
          <w:szCs w:val="20"/>
        </w:rPr>
        <w:t>.</w:t>
      </w:r>
    </w:p>
    <w:p w14:paraId="705A6E75" w14:textId="4351D1FE" w:rsidR="005D466A" w:rsidRPr="005D466A" w:rsidRDefault="00D06CCA" w:rsidP="005D466A">
      <w:pPr>
        <w:pStyle w:val="Akapitzlist"/>
        <w:numPr>
          <w:ilvl w:val="0"/>
          <w:numId w:val="63"/>
        </w:numPr>
      </w:pPr>
      <w:r w:rsidRPr="003112D2">
        <w:t>wymiany taboru autobusowego na dotychczas funkcjonujących</w:t>
      </w:r>
      <w:r w:rsidR="00334559">
        <w:t xml:space="preserve"> pozamiejskich</w:t>
      </w:r>
      <w:r w:rsidRPr="003112D2">
        <w:t xml:space="preserve"> </w:t>
      </w:r>
      <w:r w:rsidR="005D466A">
        <w:t>lini</w:t>
      </w:r>
      <w:r w:rsidR="003D00FB">
        <w:t>ach</w:t>
      </w:r>
      <w:r w:rsidR="005D466A">
        <w:t xml:space="preserve"> autobusowych</w:t>
      </w:r>
      <w:r w:rsidR="00B62871" w:rsidRPr="005739B3">
        <w:rPr>
          <w:rFonts w:cs="Calibri"/>
          <w:szCs w:val="20"/>
        </w:rPr>
        <w:t xml:space="preserve">, w tym </w:t>
      </w:r>
      <w:r w:rsidR="00334559">
        <w:rPr>
          <w:rFonts w:cs="Calibri"/>
          <w:szCs w:val="20"/>
        </w:rPr>
        <w:t>przewozów łączących</w:t>
      </w:r>
      <w:r w:rsidR="00B62871" w:rsidRPr="005739B3">
        <w:rPr>
          <w:rFonts w:cs="Calibri"/>
          <w:szCs w:val="20"/>
        </w:rPr>
        <w:t xml:space="preserve"> mia</w:t>
      </w:r>
      <w:r w:rsidR="00B62871">
        <w:rPr>
          <w:rFonts w:cs="Calibri"/>
          <w:szCs w:val="20"/>
        </w:rPr>
        <w:t xml:space="preserve">sto, gminę sąsiadującą i </w:t>
      </w:r>
      <w:r w:rsidR="00B62871" w:rsidRPr="005739B3">
        <w:rPr>
          <w:rFonts w:cs="Calibri"/>
          <w:szCs w:val="20"/>
        </w:rPr>
        <w:t>co najmniej jedną gminę inną niż sąsiadująca</w:t>
      </w:r>
      <w:r w:rsidR="00B62871">
        <w:rPr>
          <w:rFonts w:cs="Calibri"/>
          <w:szCs w:val="20"/>
        </w:rPr>
        <w:t>.</w:t>
      </w:r>
    </w:p>
    <w:p w14:paraId="2F9AC6D1" w14:textId="59DD825A" w:rsidR="002B6109" w:rsidRPr="008760AF" w:rsidRDefault="002B6109" w:rsidP="00B62871">
      <w:pPr>
        <w:pStyle w:val="Akapitzlist"/>
        <w:jc w:val="both"/>
        <w:rPr>
          <w:szCs w:val="18"/>
        </w:rPr>
      </w:pPr>
    </w:p>
    <w:p w14:paraId="5FCA1C50" w14:textId="75A80475" w:rsidR="002E2B03" w:rsidRDefault="007E651F" w:rsidP="00D06CCA">
      <w:pPr>
        <w:ind w:left="360"/>
        <w:jc w:val="both"/>
        <w:rPr>
          <w:rFonts w:cstheme="minorHAnsi"/>
        </w:rPr>
      </w:pPr>
      <w:r w:rsidRPr="003112D2">
        <w:t xml:space="preserve">Tabor powinien być przystosowany do przewozu osób z niepełnosprawnościami oraz </w:t>
      </w:r>
      <w:r w:rsidR="00C94F51" w:rsidRPr="003112D2">
        <w:t xml:space="preserve">osób </w:t>
      </w:r>
      <w:r w:rsidRPr="003112D2">
        <w:t>o ograniczonej zdolności ruchowej</w:t>
      </w:r>
      <w:r w:rsidRPr="003112D2">
        <w:rPr>
          <w:rFonts w:cstheme="minorHAnsi"/>
        </w:rPr>
        <w:t>.</w:t>
      </w:r>
    </w:p>
    <w:p w14:paraId="79AD45FE" w14:textId="16DC2605" w:rsidR="00B62871" w:rsidRPr="005D466A" w:rsidRDefault="00B62871" w:rsidP="00B62871">
      <w:pPr>
        <w:ind w:left="360"/>
      </w:pPr>
      <w:r w:rsidRPr="00B62871">
        <w:rPr>
          <w:rFonts w:cstheme="minorHAnsi"/>
        </w:rPr>
        <w:t>Lokalizacja linii komunikacji stanowiącej przedmiot przedsięwzięcia ma charakter pozamiejski</w:t>
      </w:r>
      <w:r w:rsidR="00334559">
        <w:rPr>
          <w:rFonts w:cstheme="minorHAnsi"/>
        </w:rPr>
        <w:t xml:space="preserve">, </w:t>
      </w:r>
      <w:r w:rsidR="005D1436">
        <w:rPr>
          <w:rFonts w:cstheme="minorHAnsi"/>
        </w:rPr>
        <w:t>która obejmuje również</w:t>
      </w:r>
      <w:r w:rsidR="00334559">
        <w:rPr>
          <w:rFonts w:cstheme="minorHAnsi"/>
        </w:rPr>
        <w:t xml:space="preserve"> </w:t>
      </w:r>
      <w:r w:rsidRPr="00B62871">
        <w:rPr>
          <w:rFonts w:cs="Calibri"/>
          <w:szCs w:val="20"/>
        </w:rPr>
        <w:t xml:space="preserve"> przewozy łączące miasto, gminę sąsiadującą i co najmniej jedną gminę inną niż sąsiadująca.</w:t>
      </w:r>
    </w:p>
    <w:p w14:paraId="08AC7A42" w14:textId="77777777" w:rsidR="00051A74" w:rsidRDefault="00B62871" w:rsidP="00B62871">
      <w:pPr>
        <w:ind w:left="360"/>
        <w:jc w:val="both"/>
        <w:rPr>
          <w:rFonts w:cstheme="minorHAnsi"/>
        </w:rPr>
      </w:pPr>
      <w:r w:rsidRPr="003112D2">
        <w:rPr>
          <w:rFonts w:cstheme="minorHAnsi"/>
        </w:rPr>
        <w:t>Wsparciem objęte są przewozy na liniach komunikacyjnych w transporcie pozamiejskim</w:t>
      </w:r>
      <w:r w:rsidR="005D1436">
        <w:rPr>
          <w:rFonts w:cstheme="minorHAnsi"/>
        </w:rPr>
        <w:t xml:space="preserve">, </w:t>
      </w:r>
      <w:r w:rsidR="005D1436" w:rsidRPr="005739B3">
        <w:rPr>
          <w:rFonts w:cs="Calibri"/>
          <w:szCs w:val="20"/>
        </w:rPr>
        <w:t xml:space="preserve">w tym </w:t>
      </w:r>
      <w:r w:rsidR="005D1436">
        <w:rPr>
          <w:rFonts w:cs="Calibri"/>
          <w:szCs w:val="20"/>
        </w:rPr>
        <w:t>przewozy łączące</w:t>
      </w:r>
      <w:r w:rsidR="005D1436" w:rsidRPr="005739B3">
        <w:rPr>
          <w:rFonts w:cs="Calibri"/>
          <w:szCs w:val="20"/>
        </w:rPr>
        <w:t xml:space="preserve"> mia</w:t>
      </w:r>
      <w:r w:rsidR="005D1436">
        <w:rPr>
          <w:rFonts w:cs="Calibri"/>
          <w:szCs w:val="20"/>
        </w:rPr>
        <w:t xml:space="preserve">sto, gminę sąsiadującą i </w:t>
      </w:r>
      <w:r w:rsidR="005D1436" w:rsidRPr="005739B3">
        <w:rPr>
          <w:rFonts w:cs="Calibri"/>
          <w:szCs w:val="20"/>
        </w:rPr>
        <w:t>co najmniej jedną gminę inną niż sąsiadująca</w:t>
      </w:r>
      <w:r w:rsidR="005D1436">
        <w:rPr>
          <w:rFonts w:cstheme="minorHAnsi"/>
        </w:rPr>
        <w:t xml:space="preserve"> </w:t>
      </w:r>
      <w:r w:rsidRPr="003112D2">
        <w:rPr>
          <w:rFonts w:cstheme="minorHAnsi"/>
        </w:rPr>
        <w:t xml:space="preserve">. </w:t>
      </w:r>
    </w:p>
    <w:p w14:paraId="3B6A0D68" w14:textId="1948608B" w:rsidR="00B62871" w:rsidRPr="003112D2" w:rsidRDefault="00B62871" w:rsidP="00B62871">
      <w:pPr>
        <w:ind w:left="360"/>
        <w:jc w:val="both"/>
        <w:rPr>
          <w:rFonts w:cstheme="minorHAnsi"/>
        </w:rPr>
      </w:pPr>
      <w:r w:rsidRPr="003112D2">
        <w:rPr>
          <w:rFonts w:cstheme="minorHAnsi"/>
        </w:rPr>
        <w:t>Nie są objęte wsparciem przewozy w ramach komunikacji miejskiej, o której mowa w art. 4 ust. 1 pkt 4 ustawy z dnia 16 grudnia 2010 r. o publicznym transporcie zbiorowym.</w:t>
      </w:r>
    </w:p>
    <w:p w14:paraId="49BFF969" w14:textId="77777777" w:rsidR="00B62871" w:rsidRPr="003112D2" w:rsidRDefault="00B62871" w:rsidP="00B62871">
      <w:pPr>
        <w:jc w:val="both"/>
        <w:rPr>
          <w:rFonts w:cstheme="minorHAnsi"/>
        </w:rPr>
      </w:pPr>
    </w:p>
    <w:p w14:paraId="0BDCD9B9" w14:textId="2F94B143" w:rsidR="00592102" w:rsidRPr="003112D2" w:rsidRDefault="00592102" w:rsidP="00A827E4">
      <w:pPr>
        <w:ind w:left="360"/>
        <w:jc w:val="both"/>
        <w:rPr>
          <w:rFonts w:cstheme="minorHAnsi"/>
        </w:rPr>
      </w:pPr>
      <w:r w:rsidRPr="003112D2">
        <w:rPr>
          <w:rFonts w:cstheme="minorHAnsi"/>
        </w:rPr>
        <w:t>Ważne:</w:t>
      </w:r>
    </w:p>
    <w:p w14:paraId="5F3EB009" w14:textId="08BE695D" w:rsidR="00592102" w:rsidRPr="003112D2" w:rsidRDefault="00592102" w:rsidP="00A827E4">
      <w:pPr>
        <w:ind w:left="360"/>
        <w:jc w:val="both"/>
        <w:rPr>
          <w:rFonts w:cstheme="minorHAnsi"/>
        </w:rPr>
      </w:pPr>
      <w:r w:rsidRPr="003112D2">
        <w:rPr>
          <w:rFonts w:cstheme="minorHAnsi"/>
        </w:rPr>
        <w:t>Trasę istniejącą obecnie, obsługiwaną przez innego operatora można wykazywać tylko w przypadku, gdy podpisana jest już z organizatorem umowa na dalszą obsługę trasy w przyszłości przez nowego operatora składającego wniosek.</w:t>
      </w:r>
    </w:p>
    <w:p w14:paraId="50154960" w14:textId="77777777" w:rsidR="00592102" w:rsidRPr="003112D2" w:rsidRDefault="00592102" w:rsidP="00A827E4">
      <w:pPr>
        <w:ind w:left="360"/>
        <w:jc w:val="both"/>
        <w:rPr>
          <w:rFonts w:cstheme="minorHAnsi"/>
        </w:rPr>
      </w:pPr>
    </w:p>
    <w:p w14:paraId="731E8C0B" w14:textId="77777777" w:rsidR="008D669C" w:rsidRPr="003112D2" w:rsidRDefault="008D669C" w:rsidP="008D669C">
      <w:pPr>
        <w:ind w:left="360"/>
        <w:jc w:val="both"/>
        <w:rPr>
          <w:b/>
        </w:rPr>
      </w:pPr>
      <w:r w:rsidRPr="003112D2">
        <w:rPr>
          <w:b/>
        </w:rPr>
        <w:t xml:space="preserve">Jako przedmiot przedsięwzięcia kwalifikują się: </w:t>
      </w:r>
    </w:p>
    <w:p w14:paraId="75EF8352" w14:textId="5556F232" w:rsidR="008D669C" w:rsidRPr="003112D2" w:rsidRDefault="008D669C" w:rsidP="008D669C">
      <w:pPr>
        <w:ind w:left="360"/>
        <w:jc w:val="both"/>
      </w:pPr>
      <w:r w:rsidRPr="003112D2">
        <w:t>[1] Dla tras istniejących, które obecnie obsługiwane są przez pojazdy o napędzie konwencjonalnym (diesel) lub innym, realizacja przedsięwzięcia będzie polegała na wymianie jeden do jednego pojazdów zastępowanych przez pojazdy nowe, o napędzie zeroemisyjnym (elektryczne</w:t>
      </w:r>
      <w:r w:rsidR="002A6E7D" w:rsidRPr="003112D2">
        <w:t>, wodorowe</w:t>
      </w:r>
      <w:r w:rsidR="00BC2142">
        <w:t>)</w:t>
      </w:r>
      <w:r w:rsidR="00514C72" w:rsidRPr="003112D2">
        <w:t>.</w:t>
      </w:r>
    </w:p>
    <w:p w14:paraId="008DCE6A" w14:textId="1D17A198" w:rsidR="00C01BEE" w:rsidRPr="003112D2" w:rsidRDefault="008D669C" w:rsidP="00742DA3">
      <w:pPr>
        <w:ind w:left="360"/>
        <w:jc w:val="both"/>
      </w:pPr>
      <w:r w:rsidRPr="003112D2">
        <w:t>[2] Dla tras nowych, które zostaną utworzone w wyniku realizacji przedsięwzięcia, realizacja przedsięwzięcia będzie polegała na zakupie pojazdów nowych, o napędzie zeroemisyjnym (elektryczne</w:t>
      </w:r>
      <w:r w:rsidR="002A6E7D" w:rsidRPr="003112D2">
        <w:t>, wodorowe</w:t>
      </w:r>
      <w:r w:rsidRPr="003112D2">
        <w:t>)</w:t>
      </w:r>
      <w:r w:rsidR="00514C72" w:rsidRPr="003112D2">
        <w:t>.</w:t>
      </w:r>
    </w:p>
    <w:p w14:paraId="5B346217" w14:textId="234B6953" w:rsidR="00FF6F69" w:rsidRPr="003112D2" w:rsidRDefault="00CD513C" w:rsidP="002A5039">
      <w:pPr>
        <w:pStyle w:val="Nagwek2"/>
        <w:numPr>
          <w:ilvl w:val="0"/>
          <w:numId w:val="50"/>
        </w:numPr>
        <w:spacing w:after="240"/>
        <w:rPr>
          <w:color w:val="auto"/>
        </w:rPr>
      </w:pPr>
      <w:bookmarkStart w:id="5" w:name="_Toc136952667"/>
      <w:r w:rsidRPr="003112D2">
        <w:rPr>
          <w:color w:val="auto"/>
        </w:rPr>
        <w:lastRenderedPageBreak/>
        <w:t xml:space="preserve">Potencjalni </w:t>
      </w:r>
      <w:r w:rsidR="007F1600" w:rsidRPr="003112D2">
        <w:rPr>
          <w:color w:val="auto"/>
        </w:rPr>
        <w:t>Wnioskodawcy</w:t>
      </w:r>
      <w:bookmarkEnd w:id="5"/>
    </w:p>
    <w:p w14:paraId="1578D3D4" w14:textId="467BC174" w:rsidR="00CD513C" w:rsidRPr="003931C2" w:rsidRDefault="00CD513C" w:rsidP="00F76E23">
      <w:pPr>
        <w:pStyle w:val="Akapitzlist"/>
        <w:numPr>
          <w:ilvl w:val="0"/>
          <w:numId w:val="73"/>
        </w:numPr>
        <w:spacing w:after="120"/>
        <w:ind w:left="760" w:hanging="357"/>
        <w:contextualSpacing w:val="0"/>
        <w:jc w:val="both"/>
      </w:pPr>
      <w:r w:rsidRPr="003931C2">
        <w:t>Organizatorzy publicznego transportu zbiorowego: województwa, powiaty, związki powiat</w:t>
      </w:r>
      <w:r w:rsidR="00F76E23" w:rsidRPr="003931C2">
        <w:t>ów</w:t>
      </w:r>
      <w:r w:rsidRPr="003931C2">
        <w:t xml:space="preserve">, związki powiatowo-gminne, związki </w:t>
      </w:r>
      <w:r w:rsidR="00F76E23" w:rsidRPr="003931C2">
        <w:t>między</w:t>
      </w:r>
      <w:r w:rsidRPr="003931C2">
        <w:t>gminne, gminy;</w:t>
      </w:r>
    </w:p>
    <w:p w14:paraId="03A4054B" w14:textId="0577AD09" w:rsidR="00C16BA9" w:rsidRPr="003112D2" w:rsidRDefault="00B20351" w:rsidP="00F76E23">
      <w:pPr>
        <w:pStyle w:val="Akapitzlist"/>
        <w:numPr>
          <w:ilvl w:val="0"/>
          <w:numId w:val="73"/>
        </w:numPr>
      </w:pPr>
      <w:r w:rsidRPr="003112D2">
        <w:t>Operatorzy publicznego transportu zbiorowego</w:t>
      </w:r>
      <w:r w:rsidR="00CD513C" w:rsidRPr="003112D2">
        <w:t>.</w:t>
      </w:r>
      <w:r w:rsidR="00063D75" w:rsidRPr="003112D2">
        <w:t xml:space="preserve">  </w:t>
      </w:r>
    </w:p>
    <w:p w14:paraId="466BD3A1" w14:textId="77777777" w:rsidR="0015022A" w:rsidRPr="003931C2" w:rsidRDefault="00A31A98" w:rsidP="00C11088">
      <w:pPr>
        <w:pStyle w:val="Nagwek2"/>
        <w:numPr>
          <w:ilvl w:val="0"/>
          <w:numId w:val="50"/>
        </w:numPr>
        <w:spacing w:after="240"/>
        <w:rPr>
          <w:color w:val="auto"/>
          <w:sz w:val="22"/>
          <w:szCs w:val="22"/>
        </w:rPr>
      </w:pPr>
      <w:bookmarkStart w:id="6" w:name="_Toc136952668"/>
      <w:r w:rsidRPr="003931C2">
        <w:rPr>
          <w:color w:val="auto"/>
          <w:sz w:val="22"/>
          <w:szCs w:val="22"/>
        </w:rPr>
        <w:t xml:space="preserve">Zakres rzeczowy </w:t>
      </w:r>
      <w:r w:rsidR="00C60C13" w:rsidRPr="003931C2">
        <w:rPr>
          <w:color w:val="auto"/>
          <w:sz w:val="22"/>
          <w:szCs w:val="22"/>
        </w:rPr>
        <w:t>przedsięwzięcia</w:t>
      </w:r>
      <w:r w:rsidRPr="003931C2">
        <w:rPr>
          <w:color w:val="auto"/>
          <w:sz w:val="22"/>
          <w:szCs w:val="22"/>
        </w:rPr>
        <w:t>, kwalifikowalność wydatków</w:t>
      </w:r>
      <w:bookmarkEnd w:id="6"/>
    </w:p>
    <w:p w14:paraId="483917FF" w14:textId="202824EB" w:rsidR="008D669C" w:rsidRPr="00890843" w:rsidRDefault="008D669C" w:rsidP="008D669C">
      <w:pPr>
        <w:pStyle w:val="Akapitzlist"/>
        <w:numPr>
          <w:ilvl w:val="0"/>
          <w:numId w:val="22"/>
        </w:numPr>
      </w:pPr>
      <w:r w:rsidRPr="00FC3AA4">
        <w:t xml:space="preserve">Zakup </w:t>
      </w:r>
      <w:r w:rsidRPr="00FC3AA4">
        <w:rPr>
          <w:b/>
        </w:rPr>
        <w:t xml:space="preserve">nowych autobusów </w:t>
      </w:r>
      <w:r w:rsidR="002A6E7D" w:rsidRPr="00890843">
        <w:rPr>
          <w:b/>
        </w:rPr>
        <w:t>zeroemisyjnych</w:t>
      </w:r>
      <w:r w:rsidR="001F5B87" w:rsidRPr="00890843">
        <w:rPr>
          <w:b/>
        </w:rPr>
        <w:t>;</w:t>
      </w:r>
    </w:p>
    <w:p w14:paraId="6D989FE9" w14:textId="3775E1D0" w:rsidR="008D669C" w:rsidRPr="00FC3AA4" w:rsidRDefault="008D669C" w:rsidP="008D669C">
      <w:pPr>
        <w:pStyle w:val="Akapitzlist"/>
        <w:numPr>
          <w:ilvl w:val="0"/>
          <w:numId w:val="23"/>
        </w:numPr>
        <w:jc w:val="both"/>
      </w:pPr>
      <w:r w:rsidRPr="00FC3AA4">
        <w:rPr>
          <w:b/>
        </w:rPr>
        <w:t>Budowa, zakup i instalacja stałych elementów infrastruktury technicznej i wyposażenia służąc</w:t>
      </w:r>
      <w:r w:rsidR="00CE1CAA" w:rsidRPr="00FC3AA4">
        <w:rPr>
          <w:b/>
        </w:rPr>
        <w:t>ego</w:t>
      </w:r>
      <w:r w:rsidRPr="00FC3AA4">
        <w:rPr>
          <w:b/>
        </w:rPr>
        <w:t xml:space="preserve"> i niezbędn</w:t>
      </w:r>
      <w:r w:rsidR="00CE1CAA" w:rsidRPr="00FC3AA4">
        <w:rPr>
          <w:b/>
        </w:rPr>
        <w:t>ego</w:t>
      </w:r>
      <w:r w:rsidRPr="00FC3AA4">
        <w:rPr>
          <w:b/>
        </w:rPr>
        <w:t xml:space="preserve"> do ładowania baterii autobusów zakupionych w ramach przedsięwzięcia</w:t>
      </w:r>
      <w:r w:rsidRPr="00FC3AA4">
        <w:t>;</w:t>
      </w:r>
    </w:p>
    <w:p w14:paraId="133BA83B" w14:textId="73B9A04C" w:rsidR="008D669C" w:rsidRPr="003112D2" w:rsidRDefault="008D669C" w:rsidP="008D669C">
      <w:pPr>
        <w:ind w:left="360"/>
        <w:jc w:val="both"/>
      </w:pPr>
      <w:r w:rsidRPr="003112D2">
        <w:t xml:space="preserve">przy czym, dopuszcza się następujące techniki ładowania: [1] ładowanie indukcyjne, [2] ładowanie za pomocą pantografu zarówno w technologii pantografu wysuwanego z pojazdu, jak i pantografu stacjonarnego oraz [3] ładowanie typu plug-in. </w:t>
      </w:r>
    </w:p>
    <w:p w14:paraId="72B19933" w14:textId="6E54EFC2" w:rsidR="008D669C" w:rsidRPr="003112D2" w:rsidRDefault="008D669C" w:rsidP="008D669C">
      <w:pPr>
        <w:pStyle w:val="Akapitzlist"/>
        <w:numPr>
          <w:ilvl w:val="0"/>
          <w:numId w:val="23"/>
        </w:numPr>
        <w:jc w:val="both"/>
      </w:pPr>
      <w:r w:rsidRPr="003112D2">
        <w:rPr>
          <w:b/>
        </w:rPr>
        <w:t>Budowa, zakup i instalacja stałych elementów infrastruktury technicznej i wyposażenia służąc</w:t>
      </w:r>
      <w:r w:rsidR="00514C72" w:rsidRPr="003112D2">
        <w:rPr>
          <w:b/>
        </w:rPr>
        <w:t>e</w:t>
      </w:r>
      <w:r w:rsidR="000A2B98" w:rsidRPr="003112D2">
        <w:rPr>
          <w:b/>
        </w:rPr>
        <w:t>go</w:t>
      </w:r>
      <w:r w:rsidRPr="003112D2">
        <w:rPr>
          <w:b/>
        </w:rPr>
        <w:t xml:space="preserve"> i niezbędn</w:t>
      </w:r>
      <w:r w:rsidR="00514C72" w:rsidRPr="003112D2">
        <w:rPr>
          <w:b/>
        </w:rPr>
        <w:t>ego</w:t>
      </w:r>
      <w:r w:rsidRPr="003112D2">
        <w:rPr>
          <w:b/>
        </w:rPr>
        <w:t xml:space="preserve"> do </w:t>
      </w:r>
      <w:r w:rsidR="00514C72" w:rsidRPr="003112D2">
        <w:rPr>
          <w:b/>
        </w:rPr>
        <w:t xml:space="preserve"> tankowania wodoru</w:t>
      </w:r>
      <w:r w:rsidR="00C46D7F" w:rsidRPr="003112D2">
        <w:rPr>
          <w:b/>
        </w:rPr>
        <w:t xml:space="preserve"> do</w:t>
      </w:r>
      <w:r w:rsidR="00CE1CAA" w:rsidRPr="003112D2">
        <w:rPr>
          <w:b/>
        </w:rPr>
        <w:t xml:space="preserve"> autobusów </w:t>
      </w:r>
      <w:r w:rsidR="00CE1CAA" w:rsidRPr="003112D2">
        <w:rPr>
          <w:b/>
        </w:rPr>
        <w:fldChar w:fldCharType="begin"/>
      </w:r>
      <w:r w:rsidR="00CE1CAA" w:rsidRPr="003112D2">
        <w:rPr>
          <w:b/>
        </w:rPr>
        <w:instrText xml:space="preserve"> LISTNUM </w:instrText>
      </w:r>
      <w:r w:rsidR="00CE1CAA" w:rsidRPr="003112D2">
        <w:rPr>
          <w:b/>
        </w:rPr>
        <w:fldChar w:fldCharType="end">
          <w:numberingChange w:id="7" w:author="Agata Witkowska" w:date="2024-12-03T12:16:00Z" w:original="o"/>
        </w:fldChar>
      </w:r>
      <w:r w:rsidRPr="003112D2">
        <w:rPr>
          <w:b/>
        </w:rPr>
        <w:t>zakupionych w ramach przedsięwzięcia</w:t>
      </w:r>
      <w:r w:rsidR="00890843">
        <w:rPr>
          <w:b/>
        </w:rPr>
        <w:t>;</w:t>
      </w:r>
    </w:p>
    <w:p w14:paraId="54A8A9C8" w14:textId="4505ACF4" w:rsidR="008D669C" w:rsidRPr="003112D2" w:rsidRDefault="008D669C" w:rsidP="008D669C">
      <w:pPr>
        <w:pStyle w:val="Akapitzlist"/>
        <w:numPr>
          <w:ilvl w:val="0"/>
          <w:numId w:val="24"/>
        </w:numPr>
        <w:jc w:val="both"/>
      </w:pPr>
      <w:r w:rsidRPr="003112D2">
        <w:rPr>
          <w:b/>
        </w:rPr>
        <w:t>Koszty prac koncepcyjnych</w:t>
      </w:r>
      <w:r w:rsidR="00E361D5" w:rsidRPr="003112D2">
        <w:rPr>
          <w:b/>
        </w:rPr>
        <w:t>,</w:t>
      </w:r>
      <w:r w:rsidRPr="003112D2">
        <w:rPr>
          <w:b/>
        </w:rPr>
        <w:t xml:space="preserve"> </w:t>
      </w:r>
      <w:r w:rsidR="00E361D5" w:rsidRPr="003112D2">
        <w:rPr>
          <w:b/>
        </w:rPr>
        <w:t xml:space="preserve">koszty </w:t>
      </w:r>
      <w:r w:rsidRPr="003112D2">
        <w:rPr>
          <w:b/>
        </w:rPr>
        <w:t>wdrożenia elektryfikacji linii autobusowych</w:t>
      </w:r>
      <w:r w:rsidRPr="003112D2">
        <w:rPr>
          <w:rStyle w:val="Odwoanieprzypisudolnego"/>
          <w:b/>
        </w:rPr>
        <w:footnoteReference w:id="1"/>
      </w:r>
      <w:r w:rsidRPr="003112D2">
        <w:t>, w tym przygotowania analiz, których wyniki obowiązkowo powinny znaleźć się w złożonym wraz z wnioskiem o objęcie wsparciem studium wykonalności, opracowania planów operacyjnych, rozkładów jazdy, procedur w zakresie serwisowania, bezpieczeństwa, użytkowania, zarządzania, szkolenia załogi (kierowców, serwisantów), itp.;</w:t>
      </w:r>
    </w:p>
    <w:p w14:paraId="658632EC" w14:textId="77777777" w:rsidR="008D669C" w:rsidRPr="003112D2" w:rsidRDefault="008D669C" w:rsidP="008D669C">
      <w:pPr>
        <w:pStyle w:val="Akapitzlist"/>
        <w:numPr>
          <w:ilvl w:val="0"/>
          <w:numId w:val="24"/>
        </w:numPr>
        <w:jc w:val="both"/>
      </w:pPr>
      <w:r w:rsidRPr="003112D2">
        <w:rPr>
          <w:b/>
        </w:rPr>
        <w:t>Zakup i wdrożenie teleinformatycznego systemu zarządzania ładowaniem</w:t>
      </w:r>
      <w:r w:rsidRPr="003112D2">
        <w:t>, w tym zakup urządzeń pokładowych do autobusów;</w:t>
      </w:r>
    </w:p>
    <w:p w14:paraId="685C7CB2" w14:textId="77777777" w:rsidR="008D669C" w:rsidRPr="003112D2" w:rsidRDefault="008D669C" w:rsidP="008D669C">
      <w:pPr>
        <w:pStyle w:val="Akapitzlist"/>
        <w:numPr>
          <w:ilvl w:val="0"/>
          <w:numId w:val="24"/>
        </w:numPr>
        <w:jc w:val="both"/>
      </w:pPr>
      <w:r w:rsidRPr="003112D2">
        <w:rPr>
          <w:b/>
        </w:rPr>
        <w:t>Dodatkowe gwarancje w umowie kupna-sprzedaży</w:t>
      </w:r>
      <w:r w:rsidRPr="003112D2">
        <w:t xml:space="preserve"> z dostawcą pojazdu elektrycznego, a jeśli dostawa baterii jest objęta inną umową, również w umowie kupna-sprzedaży baterii na cały okres trwałości przedsięwzięcia, określony przepisami ogólnymi, płatne z góry w momencie rozliczenia dostawy z tytułu tychże umów kupna-sprzedaży, przed datą wniosku o płatność końcową;</w:t>
      </w:r>
    </w:p>
    <w:p w14:paraId="3F28A742" w14:textId="49F5F06D" w:rsidR="00432426" w:rsidRPr="003112D2" w:rsidRDefault="008D669C" w:rsidP="00B15B82">
      <w:pPr>
        <w:pStyle w:val="Akapitzlist"/>
        <w:jc w:val="both"/>
      </w:pPr>
      <w:r w:rsidRPr="003112D2">
        <w:rPr>
          <w:b/>
        </w:rPr>
        <w:t>Jeśli wnioskodawca zdecyduje się na zakup usług w zakresie obsługi ładowania, konserwacji i napraw baterii, koszty takiego pakietu usługowego</w:t>
      </w:r>
      <w:r w:rsidRPr="003112D2">
        <w:t xml:space="preserve"> w całym okresie trwałości przedsięwzięcia określonego przepisami ogólnymi płatne z góry przed datą wniosku o płatność końcową.</w:t>
      </w:r>
      <w:bookmarkEnd w:id="0"/>
    </w:p>
    <w:p w14:paraId="3254D565" w14:textId="77777777" w:rsidR="002A5039" w:rsidRPr="003112D2" w:rsidRDefault="002A5039" w:rsidP="000A7E35">
      <w:pPr>
        <w:ind w:left="426"/>
        <w:jc w:val="both"/>
        <w:rPr>
          <w:b/>
        </w:rPr>
      </w:pPr>
    </w:p>
    <w:p w14:paraId="7B155E16" w14:textId="069F8F9B" w:rsidR="00024CE4" w:rsidRPr="003112D2" w:rsidRDefault="00024CE4" w:rsidP="000A7E35">
      <w:pPr>
        <w:ind w:left="426"/>
        <w:jc w:val="both"/>
        <w:rPr>
          <w:b/>
        </w:rPr>
      </w:pPr>
      <w:r w:rsidRPr="003112D2">
        <w:rPr>
          <w:b/>
        </w:rPr>
        <w:t>Koszty niekwalifikowalne:</w:t>
      </w:r>
    </w:p>
    <w:p w14:paraId="0B465582" w14:textId="0C55207C" w:rsidR="00024CE4" w:rsidRPr="003112D2" w:rsidRDefault="00024CE4" w:rsidP="00315675">
      <w:pPr>
        <w:pStyle w:val="Akapitzlist"/>
        <w:numPr>
          <w:ilvl w:val="0"/>
          <w:numId w:val="78"/>
        </w:numPr>
        <w:spacing w:after="120"/>
        <w:contextualSpacing w:val="0"/>
        <w:jc w:val="both"/>
        <w:rPr>
          <w:rFonts w:cstheme="minorHAnsi"/>
        </w:rPr>
      </w:pPr>
      <w:r w:rsidRPr="003112D2">
        <w:rPr>
          <w:rFonts w:cstheme="minorHAnsi"/>
        </w:rPr>
        <w:t xml:space="preserve">podatek VAT nie jest wydatkiem kwalifikowalnym i nie może być finansowany ze środków RRF w ramach żadnej z inwestycji/przedsięwzięcia, niezależnie od możliwości </w:t>
      </w:r>
      <w:r w:rsidR="00F507AE" w:rsidRPr="003112D2">
        <w:rPr>
          <w:rFonts w:cstheme="minorHAnsi"/>
        </w:rPr>
        <w:t xml:space="preserve">lub braku możliwości </w:t>
      </w:r>
      <w:r w:rsidRPr="003112D2">
        <w:rPr>
          <w:rFonts w:cstheme="minorHAnsi"/>
        </w:rPr>
        <w:t>jego odzyskania przez Wnioskodawcę;</w:t>
      </w:r>
    </w:p>
    <w:p w14:paraId="244B219D" w14:textId="4C5C4837" w:rsidR="00024CE4" w:rsidRPr="003112D2" w:rsidRDefault="00024CE4" w:rsidP="00315675">
      <w:pPr>
        <w:pStyle w:val="Akapitzlist"/>
        <w:numPr>
          <w:ilvl w:val="0"/>
          <w:numId w:val="78"/>
        </w:numPr>
        <w:spacing w:after="120"/>
        <w:contextualSpacing w:val="0"/>
        <w:jc w:val="both"/>
        <w:rPr>
          <w:rFonts w:cstheme="minorHAnsi"/>
        </w:rPr>
      </w:pPr>
      <w:r w:rsidRPr="003112D2">
        <w:rPr>
          <w:rFonts w:cstheme="minorHAnsi"/>
        </w:rPr>
        <w:t>wydatki osobowe nie mogą być uznane za koszt kwalifikowalny;</w:t>
      </w:r>
    </w:p>
    <w:p w14:paraId="5701DBF0" w14:textId="0DE3699C" w:rsidR="00024CE4" w:rsidRPr="003112D2" w:rsidRDefault="00024CE4" w:rsidP="00315675">
      <w:pPr>
        <w:pStyle w:val="Akapitzlist"/>
        <w:numPr>
          <w:ilvl w:val="0"/>
          <w:numId w:val="78"/>
        </w:numPr>
        <w:contextualSpacing w:val="0"/>
        <w:jc w:val="both"/>
        <w:rPr>
          <w:rFonts w:cstheme="minorHAnsi"/>
          <w:b/>
        </w:rPr>
      </w:pPr>
      <w:r w:rsidRPr="003112D2">
        <w:rPr>
          <w:rFonts w:cstheme="minorHAnsi"/>
        </w:rPr>
        <w:lastRenderedPageBreak/>
        <w:t>koszty operacyjne związane z bieżącą eksploatacją zakresu rzeczowego przedsięwzięcia nie są wydatkami kwalifikowalnymi.</w:t>
      </w:r>
    </w:p>
    <w:p w14:paraId="15A56CB7" w14:textId="12AF1F80" w:rsidR="00432426" w:rsidRPr="003112D2" w:rsidRDefault="00D513EE" w:rsidP="00097F66">
      <w:pPr>
        <w:pStyle w:val="Nagwek1"/>
        <w:spacing w:before="0"/>
        <w:rPr>
          <w:smallCaps/>
          <w:color w:val="auto"/>
        </w:rPr>
      </w:pPr>
      <w:bookmarkStart w:id="8" w:name="_Toc136952669"/>
      <w:r w:rsidRPr="003112D2">
        <w:rPr>
          <w:smallCaps/>
          <w:color w:val="auto"/>
        </w:rPr>
        <w:t xml:space="preserve">Wspólne założenia </w:t>
      </w:r>
      <w:r w:rsidR="00C60C13" w:rsidRPr="003112D2">
        <w:rPr>
          <w:smallCaps/>
          <w:color w:val="auto"/>
        </w:rPr>
        <w:t>przedsięwzięć</w:t>
      </w:r>
      <w:bookmarkEnd w:id="8"/>
    </w:p>
    <w:p w14:paraId="2252A84A" w14:textId="77777777" w:rsidR="007F53AB" w:rsidRPr="003112D2" w:rsidRDefault="00EE58F2" w:rsidP="002E6D8B">
      <w:pPr>
        <w:pStyle w:val="Nagwek2"/>
        <w:numPr>
          <w:ilvl w:val="0"/>
          <w:numId w:val="51"/>
        </w:numPr>
        <w:rPr>
          <w:color w:val="auto"/>
        </w:rPr>
      </w:pPr>
      <w:bookmarkStart w:id="9" w:name="_Toc136952670"/>
      <w:r w:rsidRPr="003112D2">
        <w:rPr>
          <w:color w:val="auto"/>
        </w:rPr>
        <w:t>K</w:t>
      </w:r>
      <w:r w:rsidR="00D513EE" w:rsidRPr="003112D2">
        <w:rPr>
          <w:color w:val="auto"/>
        </w:rPr>
        <w:t>ryterium „Poprawność analizy finansowej”</w:t>
      </w:r>
      <w:r w:rsidR="00DD1402" w:rsidRPr="003112D2">
        <w:rPr>
          <w:color w:val="auto"/>
        </w:rPr>
        <w:t xml:space="preserve"> (zerojedynkowe)</w:t>
      </w:r>
      <w:bookmarkEnd w:id="9"/>
    </w:p>
    <w:p w14:paraId="580EDA3A" w14:textId="77777777" w:rsidR="00EE58F2" w:rsidRPr="003112D2" w:rsidRDefault="004570D7" w:rsidP="0053311E">
      <w:pPr>
        <w:ind w:left="284"/>
        <w:jc w:val="both"/>
      </w:pPr>
      <w:r w:rsidRPr="003112D2">
        <w:t xml:space="preserve">Załącznikiem do wniosku o </w:t>
      </w:r>
      <w:r w:rsidR="00A802AB" w:rsidRPr="003112D2">
        <w:t xml:space="preserve">objęcie </w:t>
      </w:r>
      <w:r w:rsidR="007F1600" w:rsidRPr="003112D2">
        <w:t xml:space="preserve">przedsięwzięcia </w:t>
      </w:r>
      <w:r w:rsidR="00A802AB" w:rsidRPr="003112D2">
        <w:t xml:space="preserve">wsparciem </w:t>
      </w:r>
      <w:r w:rsidR="00197F31" w:rsidRPr="003112D2">
        <w:t>jest</w:t>
      </w:r>
      <w:r w:rsidRPr="003112D2">
        <w:t xml:space="preserve"> dokument opisowy </w:t>
      </w:r>
      <w:r w:rsidR="00D766F9" w:rsidRPr="003112D2">
        <w:t xml:space="preserve">pn. </w:t>
      </w:r>
      <w:r w:rsidRPr="003112D2">
        <w:t>Uproszczone Studium Wykonalności (</w:t>
      </w:r>
      <w:r w:rsidR="00084EC0" w:rsidRPr="003112D2">
        <w:t xml:space="preserve">dalej: </w:t>
      </w:r>
      <w:r w:rsidRPr="003112D2">
        <w:t xml:space="preserve">USW). </w:t>
      </w:r>
    </w:p>
    <w:p w14:paraId="4CD6B784" w14:textId="77777777" w:rsidR="000343A1" w:rsidRPr="003112D2" w:rsidRDefault="00EE58F2" w:rsidP="0000487C">
      <w:pPr>
        <w:ind w:left="284"/>
        <w:jc w:val="both"/>
      </w:pPr>
      <w:r w:rsidRPr="003112D2">
        <w:t xml:space="preserve">W zakresie USW należy uwzględnić kluczowe elementy wymagane dla spełnienia kryterium, takie jak: [1] analiza zapotrzebowania na </w:t>
      </w:r>
      <w:r w:rsidR="0008612E" w:rsidRPr="003112D2">
        <w:t>przedsięwzięcie</w:t>
      </w:r>
      <w:r w:rsidRPr="003112D2">
        <w:t xml:space="preserve">, [2] uzasadnienie wyboru zakresu </w:t>
      </w:r>
      <w:r w:rsidR="0008612E" w:rsidRPr="003112D2">
        <w:t>przedsięwzięcia</w:t>
      </w:r>
      <w:r w:rsidRPr="003112D2">
        <w:t xml:space="preserve"> do realizacji, [3] analiza operacyjna, [4] jakościowa analiza ekonomiczna wraz z analizą parametrów emisyjności oraz [5] udowodnienie trwałości finansowej i instytucjonalnej. Szczegółowe informacje dotyczące poszczególnych elementów znajdują się poniżej. W konkursie nie jest wymagana iloś</w:t>
      </w:r>
      <w:r w:rsidR="00194D6B" w:rsidRPr="003112D2">
        <w:t>ciowa analiza ekonomiczna</w:t>
      </w:r>
      <w:r w:rsidRPr="003112D2">
        <w:t xml:space="preserve">. Wnioskodawcy są również zwolnieni z wyliczenia wskaźników efektywności finansowej oraz </w:t>
      </w:r>
      <w:r w:rsidR="0000487C" w:rsidRPr="003112D2">
        <w:t xml:space="preserve">analizy </w:t>
      </w:r>
      <w:r w:rsidRPr="003112D2">
        <w:t>wrażliwości.</w:t>
      </w:r>
    </w:p>
    <w:p w14:paraId="644B11A0" w14:textId="77777777" w:rsidR="007F53AB" w:rsidRPr="003112D2" w:rsidRDefault="007F53AB" w:rsidP="00551A20">
      <w:pPr>
        <w:pStyle w:val="Akapitzlist"/>
        <w:numPr>
          <w:ilvl w:val="0"/>
          <w:numId w:val="52"/>
        </w:numPr>
        <w:jc w:val="both"/>
        <w:rPr>
          <w:rStyle w:val="Nagwek3Znak"/>
          <w:color w:val="auto"/>
        </w:rPr>
      </w:pPr>
      <w:bookmarkStart w:id="10" w:name="_Toc136952671"/>
      <w:r w:rsidRPr="003112D2">
        <w:rPr>
          <w:rStyle w:val="Nagwek3Znak"/>
          <w:color w:val="auto"/>
        </w:rPr>
        <w:t xml:space="preserve">Analiza </w:t>
      </w:r>
      <w:r w:rsidR="00551A20" w:rsidRPr="003112D2">
        <w:rPr>
          <w:rStyle w:val="Nagwek3Znak"/>
          <w:color w:val="auto"/>
        </w:rPr>
        <w:t xml:space="preserve">zapotrzebowania na </w:t>
      </w:r>
      <w:r w:rsidR="0008612E" w:rsidRPr="003112D2">
        <w:rPr>
          <w:rStyle w:val="Nagwek3Znak"/>
          <w:color w:val="auto"/>
        </w:rPr>
        <w:t>przedsięwzięcie</w:t>
      </w:r>
      <w:bookmarkEnd w:id="10"/>
    </w:p>
    <w:p w14:paraId="2EF01CB0" w14:textId="77777777" w:rsidR="0024117D" w:rsidRPr="003112D2" w:rsidRDefault="006B0272" w:rsidP="001A020F">
      <w:pPr>
        <w:ind w:left="284"/>
        <w:jc w:val="both"/>
      </w:pPr>
      <w:r w:rsidRPr="003112D2">
        <w:t>W pierwszej części USW konieczne jest opisanie istniejącej sytuacji transportowej w regionie, ze szczególnym uwzględnieniem dostępnoś</w:t>
      </w:r>
      <w:r w:rsidR="007D3A7D" w:rsidRPr="003112D2">
        <w:t>ci komunikacyjnej.</w:t>
      </w:r>
      <w:r w:rsidR="00392C20" w:rsidRPr="003112D2">
        <w:t xml:space="preserve"> Punktem wyjścia powinna być krótka analiza demograficzna analizowanego obszaru, wraz ze wskazaniem nie tylko liczby mieszkańców i ich wieku, ale też wniosków z tego wynikających, np. jeśli w obszarze zamieszkują głównie osoby starsze w wieku emerytalnym, to mogą potrzebować dojazdu do ośrodków </w:t>
      </w:r>
      <w:r w:rsidR="0046221B" w:rsidRPr="003112D2">
        <w:t xml:space="preserve">użyteczności publicznej </w:t>
      </w:r>
      <w:r w:rsidR="00392C20" w:rsidRPr="003112D2">
        <w:t xml:space="preserve">w godzinach funkcjonowania taborem dostosowanym dla osób o ograniczonej </w:t>
      </w:r>
      <w:r w:rsidR="001A0FBE" w:rsidRPr="003112D2">
        <w:t>zdolności ruchowej</w:t>
      </w:r>
      <w:r w:rsidR="00392C20" w:rsidRPr="003112D2">
        <w:t xml:space="preserve">. </w:t>
      </w:r>
      <w:r w:rsidR="0024117D" w:rsidRPr="003112D2">
        <w:t>Dla większej czytelności zalecane jest przedstawienie analizowanego obszaru na mapie</w:t>
      </w:r>
      <w:r w:rsidR="00DA6879" w:rsidRPr="003112D2">
        <w:t>, z zaznaczeniem m.in. obszarów zamieszkałych</w:t>
      </w:r>
      <w:r w:rsidR="00C5389D" w:rsidRPr="003112D2">
        <w:t>, ośrodków użyteczności publicznej (urzędy, szkoły, ośrodki kultury, ośrodki zdrowia i in.),</w:t>
      </w:r>
      <w:r w:rsidR="001E6DAF" w:rsidRPr="003112D2">
        <w:t xml:space="preserve"> dużych zakładów pracy,</w:t>
      </w:r>
      <w:r w:rsidR="00C5389D" w:rsidRPr="003112D2">
        <w:t xml:space="preserve"> stacji/przystanków kolejowych oraz innych form transportu</w:t>
      </w:r>
      <w:r w:rsidR="0024117D" w:rsidRPr="003112D2">
        <w:t>.</w:t>
      </w:r>
      <w:r w:rsidR="00C5389D" w:rsidRPr="003112D2">
        <w:t xml:space="preserve"> </w:t>
      </w:r>
    </w:p>
    <w:p w14:paraId="4C89658D" w14:textId="678CCBE3" w:rsidR="00000CAB" w:rsidRPr="003112D2" w:rsidRDefault="0024117D" w:rsidP="001A020F">
      <w:pPr>
        <w:ind w:left="284"/>
        <w:jc w:val="both"/>
      </w:pPr>
      <w:r w:rsidRPr="003112D2">
        <w:t>W opisie należy zidentyfikować dokumenty strategiczne</w:t>
      </w:r>
      <w:r w:rsidR="00BF7801" w:rsidRPr="003112D2">
        <w:t xml:space="preserve"> w zakresie polityki transportowej </w:t>
      </w:r>
      <w:r w:rsidR="00E87252" w:rsidRPr="003112D2">
        <w:t xml:space="preserve">i ochrony powietrza </w:t>
      </w:r>
      <w:r w:rsidRPr="003112D2">
        <w:t xml:space="preserve">na obszarze realizacji </w:t>
      </w:r>
      <w:r w:rsidR="0008612E" w:rsidRPr="003112D2">
        <w:t>przedsięwzięcia</w:t>
      </w:r>
      <w:r w:rsidR="00BF7801" w:rsidRPr="003112D2">
        <w:t>, których zapisy stanowiły podstawę</w:t>
      </w:r>
      <w:r w:rsidR="00EF5A3B" w:rsidRPr="003112D2">
        <w:t xml:space="preserve"> prawną i/lub merytoryczną</w:t>
      </w:r>
      <w:r w:rsidR="00BF7801" w:rsidRPr="003112D2">
        <w:t xml:space="preserve"> do podjęcia decyzji o </w:t>
      </w:r>
      <w:r w:rsidRPr="003112D2">
        <w:t xml:space="preserve">modernizacji </w:t>
      </w:r>
      <w:r w:rsidR="001E6DAF" w:rsidRPr="003112D2">
        <w:t xml:space="preserve">taboru </w:t>
      </w:r>
      <w:r w:rsidRPr="003112D2">
        <w:t>trasy istniejącej (wymiana autobusów) i/lub utworzeniu trasy nowej</w:t>
      </w:r>
      <w:r w:rsidR="00BF7801" w:rsidRPr="003112D2">
        <w:t>. Należy wskazać zarówno dokumenty, w których przypadku</w:t>
      </w:r>
      <w:r w:rsidR="006975B0" w:rsidRPr="003112D2">
        <w:t xml:space="preserve"> zagadnienia te stanowiły tylko jeden z rozdziałów, jak i dokumenty poświęcone tylko tym zagadnieniom. Mogą to być zarówno dokumenty wydane przez miasto, związek miast, jak i przez samorząd województwa, itd. Listę dokumentów należy ułożyć w kolejności dat ich opracowania i/lub w podziale tematycznym. Każdy dokument identyfikujemy przez podanie pełnego tytułu, </w:t>
      </w:r>
      <w:proofErr w:type="spellStart"/>
      <w:r w:rsidR="006975B0" w:rsidRPr="003112D2">
        <w:t>sygnatora</w:t>
      </w:r>
      <w:proofErr w:type="spellEnd"/>
      <w:r w:rsidR="006975B0" w:rsidRPr="003112D2">
        <w:t xml:space="preserve"> oraz dat</w:t>
      </w:r>
      <w:r w:rsidR="00312F0E" w:rsidRPr="003112D2">
        <w:t>y</w:t>
      </w:r>
      <w:r w:rsidR="006975B0" w:rsidRPr="003112D2">
        <w:t xml:space="preserve"> wydania. </w:t>
      </w:r>
    </w:p>
    <w:p w14:paraId="4E09B55A" w14:textId="77777777" w:rsidR="001200EC" w:rsidRPr="003112D2" w:rsidRDefault="001200EC" w:rsidP="001A020F">
      <w:pPr>
        <w:ind w:left="284"/>
        <w:jc w:val="both"/>
      </w:pPr>
      <w:r w:rsidRPr="003112D2">
        <w:t>Jeżeli przeprowadzono badanie dotyczące wykluczenia transportowego na analizowanym obszarze, należy je przedstawić wymieniając najważniejsze zidentyfikowane problemy oraz wnioski.</w:t>
      </w:r>
    </w:p>
    <w:p w14:paraId="657F2372" w14:textId="77777777" w:rsidR="00667878" w:rsidRPr="003112D2" w:rsidRDefault="00667878" w:rsidP="001A020F">
      <w:pPr>
        <w:ind w:left="284"/>
        <w:jc w:val="both"/>
      </w:pPr>
      <w:r w:rsidRPr="003112D2">
        <w:t xml:space="preserve">Zalecane jest przedstawienie dotychczasowych działań podjętych przez Wnioskodawcę na rzecz zrównoważonego transportu, zwiększenia dostępności transportowej oraz ochrony powietrza. </w:t>
      </w:r>
    </w:p>
    <w:p w14:paraId="597FBFE1" w14:textId="77777777" w:rsidR="00DA1E07" w:rsidRPr="003112D2" w:rsidRDefault="0022217F" w:rsidP="00DA1E07">
      <w:pPr>
        <w:spacing w:after="0"/>
        <w:ind w:left="284"/>
        <w:jc w:val="both"/>
      </w:pPr>
      <w:r w:rsidRPr="003112D2">
        <w:t xml:space="preserve">Uzasadnienie zapotrzebowania na </w:t>
      </w:r>
      <w:r w:rsidR="0008612E" w:rsidRPr="003112D2">
        <w:t>przedsięwzięcie</w:t>
      </w:r>
      <w:r w:rsidRPr="003112D2">
        <w:t xml:space="preserve"> powinn</w:t>
      </w:r>
      <w:r w:rsidR="001E6DAF" w:rsidRPr="003112D2">
        <w:t>o zawierać co najmniej następujące elementy</w:t>
      </w:r>
      <w:r w:rsidR="00905926" w:rsidRPr="003112D2">
        <w:t>:</w:t>
      </w:r>
      <w:r w:rsidR="004F69A2" w:rsidRPr="003112D2">
        <w:t xml:space="preserve"> </w:t>
      </w:r>
    </w:p>
    <w:p w14:paraId="14F0F10F" w14:textId="77777777" w:rsidR="00DA1E07" w:rsidRPr="003112D2" w:rsidRDefault="004F69A2" w:rsidP="00DA1E07">
      <w:pPr>
        <w:pStyle w:val="Akapitzlist"/>
        <w:numPr>
          <w:ilvl w:val="0"/>
          <w:numId w:val="54"/>
        </w:numPr>
        <w:jc w:val="both"/>
      </w:pPr>
      <w:r w:rsidRPr="003112D2">
        <w:lastRenderedPageBreak/>
        <w:t>Jeśli dotyczy, należy opisać funkcjonujące na analizowanym obszarze trasy istniejące (przebieg trasy, częstotliwość kursowania i in.) wraz z obsługującym je taborem autobusowym (liczba pojazdów, wiek pojazdów i stan techniczny, rodzaj napędu, pojemność,</w:t>
      </w:r>
      <w:r w:rsidR="00E37333" w:rsidRPr="003112D2">
        <w:t xml:space="preserve"> klasa mega/maxi/midi/mini,</w:t>
      </w:r>
      <w:r w:rsidRPr="003112D2">
        <w:t xml:space="preserve"> dostępność dla osób o ograniczonej mobilności i in.) oraz </w:t>
      </w:r>
      <w:r w:rsidR="00ED16E5" w:rsidRPr="003112D2">
        <w:t xml:space="preserve">liczbę pasażerów jako </w:t>
      </w:r>
      <w:r w:rsidRPr="003112D2">
        <w:t xml:space="preserve">szacowany średni poziom napełnienia (%) co najmniej w roku poprzedzającym rok złożenia wniosku o </w:t>
      </w:r>
      <w:r w:rsidR="00C31BED" w:rsidRPr="003112D2">
        <w:t>objęcie wsparciem</w:t>
      </w:r>
      <w:r w:rsidRPr="003112D2">
        <w:t xml:space="preserve">. </w:t>
      </w:r>
      <w:r w:rsidR="00ED16E5" w:rsidRPr="003112D2">
        <w:t>Liczba pasażerów może być wyraźnie zróżnicowana zale</w:t>
      </w:r>
      <w:r w:rsidR="007D419E" w:rsidRPr="003112D2">
        <w:t>żnie od dnia tygodnia czy pory</w:t>
      </w:r>
      <w:r w:rsidR="00ED16E5" w:rsidRPr="003112D2">
        <w:t xml:space="preserve"> kursowania, co również zaleca się wyszczególnić. </w:t>
      </w:r>
      <w:r w:rsidR="0022217F" w:rsidRPr="003112D2">
        <w:t>Na tej podstawie należy opisać zidentyfikowane problemy, które wpływają na popyt, np. niskie napełnienia wynikają z braku punktualności przez zł</w:t>
      </w:r>
      <w:r w:rsidR="00ED16E5" w:rsidRPr="003112D2">
        <w:t>y sta</w:t>
      </w:r>
      <w:r w:rsidR="00830EC8" w:rsidRPr="003112D2">
        <w:t>n techniczny, co powoduje</w:t>
      </w:r>
      <w:r w:rsidR="00355171" w:rsidRPr="003112D2">
        <w:t>,</w:t>
      </w:r>
      <w:r w:rsidR="00830EC8" w:rsidRPr="003112D2">
        <w:t xml:space="preserve"> że mieszkańcy i tak korzystają z samochodów osobowych.</w:t>
      </w:r>
    </w:p>
    <w:p w14:paraId="7A5C8983" w14:textId="77777777" w:rsidR="00DA1E07" w:rsidRPr="003112D2" w:rsidRDefault="00ED16E5" w:rsidP="00DA1E07">
      <w:pPr>
        <w:pStyle w:val="Akapitzlist"/>
        <w:numPr>
          <w:ilvl w:val="0"/>
          <w:numId w:val="54"/>
        </w:numPr>
        <w:jc w:val="both"/>
      </w:pPr>
      <w:r w:rsidRPr="003112D2">
        <w:t>Jeśli na analizowanym obszarze nie funkcjonują trasy istniejące, a funkcjonowały wcześniej, należy opisać</w:t>
      </w:r>
      <w:r w:rsidR="00355171" w:rsidRPr="003112D2">
        <w:t>,</w:t>
      </w:r>
      <w:r w:rsidRPr="003112D2">
        <w:t xml:space="preserve"> dlaczego zostały zlikwidowane.</w:t>
      </w:r>
      <w:r w:rsidR="00DA1E07" w:rsidRPr="003112D2">
        <w:t xml:space="preserve"> </w:t>
      </w:r>
    </w:p>
    <w:p w14:paraId="4B146837" w14:textId="77777777" w:rsidR="00DA1E07" w:rsidRPr="003112D2" w:rsidRDefault="00830EC8" w:rsidP="00DA1E07">
      <w:pPr>
        <w:pStyle w:val="Akapitzlist"/>
        <w:numPr>
          <w:ilvl w:val="0"/>
          <w:numId w:val="54"/>
        </w:numPr>
        <w:jc w:val="both"/>
      </w:pPr>
      <w:r w:rsidRPr="003112D2">
        <w:t xml:space="preserve">Ponadto, jeżeli na analizowanym obszarze </w:t>
      </w:r>
      <w:r w:rsidR="001E6DAF" w:rsidRPr="003112D2">
        <w:t xml:space="preserve">znajdują się potencjalne </w:t>
      </w:r>
      <w:r w:rsidR="001A0FBE" w:rsidRPr="003112D2">
        <w:t xml:space="preserve">trasy </w:t>
      </w:r>
      <w:r w:rsidR="001E6DAF" w:rsidRPr="003112D2">
        <w:t>nowe</w:t>
      </w:r>
      <w:r w:rsidR="001A0FBE" w:rsidRPr="003112D2">
        <w:t xml:space="preserve"> </w:t>
      </w:r>
      <w:r w:rsidRPr="003112D2">
        <w:t xml:space="preserve">należy opisać jak aktualnie rozwiązywana jest kwestia dojazdu. Czy mieszkańcy korzystają głównie z samochodów osobowych, czy pojawia się kongestia w godzinach szczytu (zatłoczenie) i na jakich trasach. Jak funkcjonują osoby nieposiadające samochodu, czy poruszają się rowerem lub pieszo pokonują wiele kilometrów, czy funkcjonuje jakiś rodzaj prywatnego transportu busami do przewozu osób (np. w niektórych gminach taki transport organizują duże sieci spożywcze). </w:t>
      </w:r>
    </w:p>
    <w:p w14:paraId="68EEE91C" w14:textId="77777777" w:rsidR="00830EC8" w:rsidRPr="003112D2" w:rsidRDefault="00830EC8" w:rsidP="00830EC8">
      <w:pPr>
        <w:pStyle w:val="Akapitzlist"/>
        <w:ind w:left="644"/>
        <w:jc w:val="both"/>
      </w:pPr>
    </w:p>
    <w:p w14:paraId="3071BCED" w14:textId="77777777" w:rsidR="00465B0F" w:rsidRPr="003112D2" w:rsidRDefault="00551A20" w:rsidP="00465B0F">
      <w:pPr>
        <w:pStyle w:val="Akapitzlist"/>
        <w:numPr>
          <w:ilvl w:val="0"/>
          <w:numId w:val="52"/>
        </w:numPr>
        <w:jc w:val="both"/>
        <w:rPr>
          <w:rStyle w:val="Nagwek3Znak"/>
          <w:color w:val="auto"/>
        </w:rPr>
      </w:pPr>
      <w:bookmarkStart w:id="11" w:name="_Toc136952672"/>
      <w:r w:rsidRPr="003112D2">
        <w:rPr>
          <w:rStyle w:val="Nagwek3Znak"/>
          <w:color w:val="auto"/>
        </w:rPr>
        <w:t xml:space="preserve">Uzasadnienie wyboru zakresu </w:t>
      </w:r>
      <w:r w:rsidR="0008612E" w:rsidRPr="003112D2">
        <w:rPr>
          <w:rStyle w:val="Nagwek3Znak"/>
          <w:color w:val="auto"/>
        </w:rPr>
        <w:t>przedsięwzięcia</w:t>
      </w:r>
      <w:r w:rsidR="00A802AB" w:rsidRPr="003112D2">
        <w:rPr>
          <w:rStyle w:val="Nagwek3Znak"/>
          <w:color w:val="auto"/>
        </w:rPr>
        <w:t xml:space="preserve"> </w:t>
      </w:r>
      <w:r w:rsidRPr="003112D2">
        <w:rPr>
          <w:rStyle w:val="Nagwek3Znak"/>
          <w:color w:val="auto"/>
        </w:rPr>
        <w:t>do realizacji</w:t>
      </w:r>
      <w:bookmarkEnd w:id="11"/>
    </w:p>
    <w:p w14:paraId="16699D34" w14:textId="77777777" w:rsidR="00465B0F" w:rsidRPr="003112D2" w:rsidRDefault="0090450B" w:rsidP="00A628CD">
      <w:pPr>
        <w:ind w:left="284"/>
        <w:jc w:val="both"/>
      </w:pPr>
      <w:r w:rsidRPr="003112D2">
        <w:t xml:space="preserve">Kolejnym etapem jest uzasadnienie zakresu </w:t>
      </w:r>
      <w:r w:rsidR="0008612E" w:rsidRPr="003112D2">
        <w:t>przedsięwzięcia</w:t>
      </w:r>
      <w:r w:rsidR="00A802AB" w:rsidRPr="003112D2">
        <w:t xml:space="preserve"> </w:t>
      </w:r>
      <w:r w:rsidRPr="003112D2">
        <w:t xml:space="preserve">do realizacji, w tym zarówno </w:t>
      </w:r>
      <w:r w:rsidR="00D94891" w:rsidRPr="003112D2">
        <w:t xml:space="preserve">wyboru </w:t>
      </w:r>
      <w:r w:rsidRPr="003112D2">
        <w:t>trasy</w:t>
      </w:r>
      <w:r w:rsidR="00375164" w:rsidRPr="003112D2">
        <w:t xml:space="preserve"> (istniejąca, nowa)</w:t>
      </w:r>
      <w:r w:rsidRPr="003112D2">
        <w:t>, jak i</w:t>
      </w:r>
      <w:r w:rsidR="00375164" w:rsidRPr="003112D2">
        <w:t xml:space="preserve"> odpowiednich do trasy</w:t>
      </w:r>
      <w:r w:rsidRPr="003112D2">
        <w:t xml:space="preserve"> autobusów</w:t>
      </w:r>
      <w:r w:rsidR="00D94891" w:rsidRPr="003112D2">
        <w:t xml:space="preserve"> (rodzaj napędu</w:t>
      </w:r>
      <w:r w:rsidR="009E24B9" w:rsidRPr="003112D2">
        <w:t>, klasa mega/maxi/midi/mini,</w:t>
      </w:r>
      <w:r w:rsidR="00D94891" w:rsidRPr="003112D2">
        <w:t xml:space="preserve"> i in.)</w:t>
      </w:r>
      <w:r w:rsidRPr="003112D2">
        <w:t>.</w:t>
      </w:r>
    </w:p>
    <w:p w14:paraId="6CC083D8" w14:textId="77777777" w:rsidR="0090450B" w:rsidRPr="003112D2" w:rsidRDefault="0090450B" w:rsidP="00A628CD">
      <w:pPr>
        <w:ind w:left="284"/>
        <w:jc w:val="both"/>
        <w:rPr>
          <w:b/>
        </w:rPr>
      </w:pPr>
      <w:r w:rsidRPr="003112D2">
        <w:rPr>
          <w:b/>
        </w:rPr>
        <w:t xml:space="preserve">Trasa istniejąca </w:t>
      </w:r>
    </w:p>
    <w:p w14:paraId="308ED8E6" w14:textId="77777777" w:rsidR="00924C09" w:rsidRPr="003112D2" w:rsidRDefault="006A07BF" w:rsidP="00A628CD">
      <w:pPr>
        <w:ind w:left="284"/>
        <w:jc w:val="both"/>
      </w:pPr>
      <w:r w:rsidRPr="003112D2">
        <w:t xml:space="preserve">Jeżeli Wnioskodawca wybrał do realizacji trasę istniejącą (trasy istniejące) spośród wielu wymienionych w rozdziale A. Analiza zapotrzebowania na </w:t>
      </w:r>
      <w:r w:rsidR="0008612E" w:rsidRPr="003112D2">
        <w:t>przedsięwzięcie</w:t>
      </w:r>
      <w:r w:rsidRPr="003112D2">
        <w:t xml:space="preserve">, należy krótko </w:t>
      </w:r>
      <w:r w:rsidR="00E37333" w:rsidRPr="003112D2">
        <w:t>przedstawić</w:t>
      </w:r>
      <w:r w:rsidRPr="003112D2">
        <w:t xml:space="preserve"> proces wyboru. Zalecana jest metoda analizy wielokryterialnej: zdefiniowanie kryteriów wyboru, określenie wagi i punktacji poszczególnych kryteriów, tabelaryczne przedstawienie analizy wraz z krótkim opisem</w:t>
      </w:r>
      <w:r w:rsidR="00355171" w:rsidRPr="003112D2">
        <w:t>,</w:t>
      </w:r>
      <w:r w:rsidRPr="003112D2">
        <w:t xml:space="preserve"> dlaczego dana trasa otrzymała w poszczególnych kryteriach określoną liczbę punktów (w powiązaniu z informacjami na temat danej trasy przedstawionymi w rozdziale A.). Sugerowane kryteria, to m.in. wiek i stan techniczny taboru obsługującego trasę, dostępność dla osób o ograniczonej mobilności (osób z niepełnosprawnościami oraz o ograniczonej zdolności ruchowej), znaczenie trasy dla dostępności komunikacyjnej (</w:t>
      </w:r>
      <w:r w:rsidR="001F0B70" w:rsidRPr="003112D2">
        <w:t>dostęp do ośrodków użyteczności publicznej, połączenie z transportem kolejowym i/lub innymi formami transportu).</w:t>
      </w:r>
      <w:r w:rsidR="00C562C0" w:rsidRPr="003112D2">
        <w:t xml:space="preserve"> </w:t>
      </w:r>
      <w:r w:rsidR="00924C09" w:rsidRPr="003112D2">
        <w:t>Jeżeli do realizacji wybrano wszystkie</w:t>
      </w:r>
      <w:r w:rsidR="00C50BD5" w:rsidRPr="003112D2">
        <w:t xml:space="preserve"> funkcjonujące</w:t>
      </w:r>
      <w:r w:rsidR="00924C09" w:rsidRPr="003112D2">
        <w:t xml:space="preserve"> trasy istni</w:t>
      </w:r>
      <w:r w:rsidR="00C50BD5" w:rsidRPr="003112D2">
        <w:t>ejące</w:t>
      </w:r>
      <w:r w:rsidR="00B447AB" w:rsidRPr="003112D2">
        <w:t xml:space="preserve"> (co najmniej dwie)</w:t>
      </w:r>
      <w:r w:rsidR="00924C09" w:rsidRPr="003112D2">
        <w:t>, również należy opisać proces decyzyjny z uwzględnieniem sugerowanych kryteriów</w:t>
      </w:r>
      <w:r w:rsidR="00C50BD5" w:rsidRPr="003112D2">
        <w:t>.</w:t>
      </w:r>
      <w:r w:rsidR="00B55515" w:rsidRPr="003112D2">
        <w:t xml:space="preserve"> </w:t>
      </w:r>
      <w:r w:rsidR="00C50BD5" w:rsidRPr="003112D2">
        <w:t>Jeżeli do realizacji wybrano jedyną funkcjonującą trasę istniejącą, należy opisać proces decyzyjny już bez zastosowania punktacji.</w:t>
      </w:r>
      <w:r w:rsidR="00924C09" w:rsidRPr="003112D2">
        <w:t xml:space="preserve"> </w:t>
      </w:r>
    </w:p>
    <w:p w14:paraId="7323CAE4" w14:textId="0D050CA5" w:rsidR="0090450B" w:rsidRPr="003112D2" w:rsidRDefault="00CB1C08" w:rsidP="00A628CD">
      <w:pPr>
        <w:ind w:left="284"/>
        <w:jc w:val="both"/>
      </w:pPr>
      <w:r w:rsidRPr="003112D2">
        <w:t>Wariantowanie autobusów – k</w:t>
      </w:r>
      <w:r w:rsidR="00924C09" w:rsidRPr="003112D2">
        <w:t>onieczne jest opisanie procesu wyboru autobusów na daną trasę (trasy). W konkursie dopuszczalne są pojazdy elektryczne</w:t>
      </w:r>
      <w:r w:rsidR="00AB7276" w:rsidRPr="003112D2">
        <w:t xml:space="preserve"> i</w:t>
      </w:r>
      <w:r w:rsidR="00924C09" w:rsidRPr="003112D2">
        <w:t xml:space="preserve"> </w:t>
      </w:r>
      <w:r w:rsidR="00E162B7" w:rsidRPr="003112D2">
        <w:t>wodorowe</w:t>
      </w:r>
      <w:r w:rsidR="000A2B98" w:rsidRPr="003112D2">
        <w:t>.</w:t>
      </w:r>
      <w:r w:rsidR="00E162B7" w:rsidRPr="003112D2">
        <w:t xml:space="preserve"> </w:t>
      </w:r>
      <w:r w:rsidR="000A2B98" w:rsidRPr="003112D2">
        <w:t>S</w:t>
      </w:r>
      <w:r w:rsidR="00B447AB" w:rsidRPr="003112D2">
        <w:t>ugerowaną metodą jest wskazanie (opisowe lub tabelaryczne)</w:t>
      </w:r>
      <w:r w:rsidR="00355171" w:rsidRPr="003112D2">
        <w:t>,</w:t>
      </w:r>
      <w:r w:rsidR="00B447AB" w:rsidRPr="003112D2">
        <w:t xml:space="preserve"> dlaczego dany napęd został </w:t>
      </w:r>
      <w:r w:rsidR="00DD4ADD" w:rsidRPr="003112D2">
        <w:t xml:space="preserve">wybrany do realizacji, a inny możliwy </w:t>
      </w:r>
      <w:r w:rsidR="00B447AB" w:rsidRPr="003112D2">
        <w:t xml:space="preserve">napęd nie został wybrany do realizacji. Przykładowo można uwzględnić takie kryteria, jak </w:t>
      </w:r>
      <w:r w:rsidR="0099668C" w:rsidRPr="003112D2">
        <w:t xml:space="preserve">posiadanie lub nieposiadane infrastruktury ładowania/tankowania, posiadanie lub nieposiadanie </w:t>
      </w:r>
      <w:r w:rsidR="0099668C" w:rsidRPr="003112D2">
        <w:lastRenderedPageBreak/>
        <w:t xml:space="preserve">doświadczenia w eksploatacji danego typu napędu, zgodność lub niezgodność z polityką transportową oraz polityką ochrony powietrza w danym regionie i in. </w:t>
      </w:r>
      <w:r w:rsidR="005F381D" w:rsidRPr="003112D2">
        <w:t>Istotne jest potwierdzenie, na ile dany typ autobusów jest możliwy do obsługi wybranej trasy. Przykładowo, autobus elektryczny wymaga ładowania, stąd konieczne jest zweryfikowanie dodatkowego zużycia energii elektrycznej wynikającego z uwarunkowań trasy (obsługa klimatyzacji /ogrzewania zależna od specyfiki warunków klimatycznych i pogodowych; nachylenia terenu, jeśli występują; kongestia w godzinach szczytu, i in.</w:t>
      </w:r>
      <w:r w:rsidR="00F954C7" w:rsidRPr="003112D2">
        <w:t>), zweryfikowanie czy konieczne jest uwzględnienie stacji ładowania szybkiego na pętli/przystanku końcowym, czy autobus będzie ładowany jedynie na zajezdni po wykonaniu określonej liczby kilometrów i w jaki sposób będzie to powiązane z częstotliwością kursowania (np. pełne naładowanie wystarczy na wykonanie wszystkich zaplanowanych kursów w ciągu dnia, a w nocy</w:t>
      </w:r>
      <w:r w:rsidR="00355171" w:rsidRPr="003112D2">
        <w:t xml:space="preserve"> - </w:t>
      </w:r>
      <w:r w:rsidR="00F954C7" w:rsidRPr="003112D2">
        <w:t xml:space="preserve">kiedy rozkład nie przewiduje kursowania </w:t>
      </w:r>
      <w:r w:rsidR="00355171" w:rsidRPr="003112D2">
        <w:t>- p</w:t>
      </w:r>
      <w:r w:rsidR="00F954C7" w:rsidRPr="003112D2">
        <w:t>ojazd będzie ładowany w systemie plug-in na zajezdni).</w:t>
      </w:r>
      <w:r w:rsidR="00626F6D" w:rsidRPr="003112D2">
        <w:t xml:space="preserve"> Ponadto</w:t>
      </w:r>
      <w:r w:rsidR="00355171" w:rsidRPr="003112D2">
        <w:t>,</w:t>
      </w:r>
      <w:r w:rsidR="00626F6D" w:rsidRPr="003112D2">
        <w:t xml:space="preserve"> trasy mogą obejmować drogi o parametrach, które wykluczają tam poruszanie się pojazdów o określonym nacisku lub długości, co wyklucza autobusy mega czy maxi.</w:t>
      </w:r>
    </w:p>
    <w:p w14:paraId="3F2B76C7" w14:textId="77777777" w:rsidR="0099668C" w:rsidRPr="003112D2" w:rsidRDefault="0099668C" w:rsidP="00A628CD">
      <w:pPr>
        <w:ind w:left="284"/>
        <w:jc w:val="both"/>
      </w:pPr>
      <w:r w:rsidRPr="003112D2">
        <w:t>Podsumowaniem tej części analizy powinno b</w:t>
      </w:r>
      <w:r w:rsidR="00DD4ADD" w:rsidRPr="003112D2">
        <w:t xml:space="preserve">yć jednoznaczne wskazanie wybranego zakresu </w:t>
      </w:r>
      <w:r w:rsidR="0008612E" w:rsidRPr="003112D2">
        <w:t>przedsięwzięcia</w:t>
      </w:r>
      <w:r w:rsidR="00DD4ADD" w:rsidRPr="003112D2">
        <w:t>, w tym trasy i autobusó</w:t>
      </w:r>
      <w:r w:rsidR="005F381D" w:rsidRPr="003112D2">
        <w:t>w.</w:t>
      </w:r>
    </w:p>
    <w:p w14:paraId="01788424" w14:textId="77777777" w:rsidR="00924C09" w:rsidRPr="003112D2" w:rsidRDefault="00924C09" w:rsidP="00A628CD">
      <w:pPr>
        <w:ind w:left="284"/>
        <w:jc w:val="both"/>
        <w:rPr>
          <w:b/>
        </w:rPr>
      </w:pPr>
      <w:r w:rsidRPr="003112D2">
        <w:rPr>
          <w:b/>
        </w:rPr>
        <w:t>Trasa nowa</w:t>
      </w:r>
    </w:p>
    <w:p w14:paraId="07721660" w14:textId="77777777" w:rsidR="0057163A" w:rsidRPr="003112D2" w:rsidRDefault="00DD4ADD" w:rsidP="0083126D">
      <w:pPr>
        <w:spacing w:after="0"/>
        <w:ind w:left="284"/>
        <w:jc w:val="both"/>
      </w:pPr>
      <w:r w:rsidRPr="003112D2">
        <w:t>Jeżeli Wnioskodawca wybrał do realizacji trasę nową</w:t>
      </w:r>
      <w:r w:rsidR="0083126D" w:rsidRPr="003112D2">
        <w:t xml:space="preserve"> (trasy nowe)</w:t>
      </w:r>
      <w:r w:rsidRPr="003112D2">
        <w:t>, która rozpocznie funkcjonowanie dzięki przedmiotowe</w:t>
      </w:r>
      <w:r w:rsidR="0008612E" w:rsidRPr="003112D2">
        <w:t>mu przedsięwzięciu</w:t>
      </w:r>
      <w:r w:rsidRPr="003112D2">
        <w:t>, należy kr</w:t>
      </w:r>
      <w:r w:rsidR="0083126D" w:rsidRPr="003112D2">
        <w:t xml:space="preserve">ótko przedstawić proces wariantowania </w:t>
      </w:r>
      <w:r w:rsidR="005F381D" w:rsidRPr="003112D2">
        <w:t>przebiegu trasy – jakie możliwe przebiegi trasy były rozpatrywane, jakie elementy brano pod uwagę (np. długość trasy, dostępność przystanków, lokalizacja przystanków przy ośrodkach użyteczności publicznej, połączenie z koleją i in.), co zadecydowało o wyborze</w:t>
      </w:r>
      <w:r w:rsidR="00DA1E07" w:rsidRPr="003112D2">
        <w:t xml:space="preserve"> trasy (tras). Z</w:t>
      </w:r>
      <w:r w:rsidR="005F381D" w:rsidRPr="003112D2">
        <w:t>alecana jest metoda analizy wielokryterialnej: zdefiniowanie kryteriów wyboru, określenie wagi i punktacji poszczególnych kryteriów, tabelaryczne przedstawienie analizy wraz z krótkim opisem</w:t>
      </w:r>
      <w:r w:rsidR="00355171" w:rsidRPr="003112D2">
        <w:t>,</w:t>
      </w:r>
      <w:r w:rsidR="005F381D" w:rsidRPr="003112D2">
        <w:t xml:space="preserve"> dlaczego dana trasa otrzymała w poszczególnych kryteriach określoną liczbę punktów</w:t>
      </w:r>
      <w:r w:rsidR="0083126D" w:rsidRPr="003112D2">
        <w:t>.</w:t>
      </w:r>
    </w:p>
    <w:p w14:paraId="3ED10451" w14:textId="77777777" w:rsidR="0057163A" w:rsidRPr="003112D2" w:rsidRDefault="0057163A" w:rsidP="0057163A">
      <w:pPr>
        <w:spacing w:after="0"/>
        <w:ind w:left="284"/>
        <w:jc w:val="both"/>
      </w:pPr>
    </w:p>
    <w:p w14:paraId="739F798B" w14:textId="70F67306" w:rsidR="005F381D" w:rsidRPr="003112D2" w:rsidRDefault="00DA1E07" w:rsidP="0057163A">
      <w:pPr>
        <w:spacing w:after="0"/>
        <w:ind w:left="284"/>
        <w:jc w:val="both"/>
      </w:pPr>
      <w:r w:rsidRPr="003112D2">
        <w:t>W</w:t>
      </w:r>
      <w:r w:rsidR="005F381D" w:rsidRPr="003112D2">
        <w:t>ariantowanie autobusów –</w:t>
      </w:r>
      <w:r w:rsidRPr="003112D2">
        <w:t xml:space="preserve"> w konkursie dopuszczalne są pojazdy elektryczne</w:t>
      </w:r>
      <w:r w:rsidR="00AB7276" w:rsidRPr="003112D2">
        <w:t xml:space="preserve"> i</w:t>
      </w:r>
      <w:r w:rsidRPr="003112D2">
        <w:t xml:space="preserve"> </w:t>
      </w:r>
      <w:r w:rsidR="00E162B7" w:rsidRPr="003112D2">
        <w:t>wodorowe</w:t>
      </w:r>
      <w:r w:rsidR="00AB7276" w:rsidRPr="003112D2">
        <w:t>.</w:t>
      </w:r>
      <w:r w:rsidR="00E162B7" w:rsidRPr="003112D2">
        <w:t xml:space="preserve"> </w:t>
      </w:r>
      <w:r w:rsidR="000A2B98" w:rsidRPr="003112D2">
        <w:t>S</w:t>
      </w:r>
      <w:r w:rsidRPr="003112D2">
        <w:t>ugerowaną metodą jest wskazanie (opisowe lub tabelaryczne)</w:t>
      </w:r>
      <w:r w:rsidR="00355171" w:rsidRPr="003112D2">
        <w:t>,</w:t>
      </w:r>
      <w:r w:rsidRPr="003112D2">
        <w:t xml:space="preserve"> dlaczego dany napęd został wybrany do realizacji, a inny możliwy napęd nie został wybrany do realizacji. Przykładowo można uwzględnić takie kryteria, jak posiadanie lub nieposiadane infrastruktury ładowania/tankowania, posiadanie lub nieposiadanie doświadczenia w eksploatacji danego typu napędu, zgodność lub niezgodność z polityką transportową oraz polityką ochrony powietrza w danym regionie i in. Istotne jest potwierdzenie, na ile dany typ autobusów jest możliwy do obsługi wybranej trasy. Przykładowo, autobus elektryczny wymaga ładowania, stąd konieczne jest zweryfikowanie dodatkowego zużycia energii elektrycznej wynikającego z uwarunkowań trasy (obsługa klimatyzacji/ogrzewania zależna od specyfiki warunków klimatycznych i pogodowych; nachylenia terenu, jeśli występują; kongestia w godzinach szczytu, i in.), zweryfikowanie czy konieczne jest uwzględnienie stacji ładowania szybkiego na pętli/przystanku końcowym, czy autobus będzie ładowany jedynie na zajezdni po wykonaniu określonej liczby kilometrów i w jaki sposób będzie to powiązane z częstotliwością kursowania (np. pełne naładowanie wystarczy na wykonanie wszystkich zaplanowanych kursów w ciągu dnia, a w nocy </w:t>
      </w:r>
      <w:r w:rsidR="00355171" w:rsidRPr="003112D2">
        <w:t xml:space="preserve">- </w:t>
      </w:r>
      <w:r w:rsidRPr="003112D2">
        <w:t xml:space="preserve">kiedy rozkład nie przewiduje kursowania </w:t>
      </w:r>
      <w:r w:rsidR="00355171" w:rsidRPr="003112D2">
        <w:t xml:space="preserve">- </w:t>
      </w:r>
      <w:r w:rsidRPr="003112D2">
        <w:t>pojazd będzie ładowany w systemie plug-in na zajezdni).</w:t>
      </w:r>
      <w:r w:rsidR="0057163A" w:rsidRPr="003112D2">
        <w:t xml:space="preserve"> Ponadto</w:t>
      </w:r>
      <w:r w:rsidR="00355171" w:rsidRPr="003112D2">
        <w:t>,</w:t>
      </w:r>
      <w:r w:rsidR="0057163A" w:rsidRPr="003112D2">
        <w:t xml:space="preserve"> trasy mogą obejmować drogi o parametrach, które wykluczają tam poruszanie się pojazdów o określonym nacisku lub długości, co wyklucza autobusy mega czy maxi.</w:t>
      </w:r>
    </w:p>
    <w:p w14:paraId="4806B10C" w14:textId="77777777" w:rsidR="0057163A" w:rsidRPr="003112D2" w:rsidRDefault="0057163A" w:rsidP="0057163A">
      <w:pPr>
        <w:spacing w:after="0"/>
        <w:ind w:left="284"/>
        <w:jc w:val="both"/>
      </w:pPr>
    </w:p>
    <w:p w14:paraId="43C2F466" w14:textId="77777777" w:rsidR="0057163A" w:rsidRPr="003112D2" w:rsidRDefault="0057163A" w:rsidP="0057163A">
      <w:pPr>
        <w:spacing w:after="0"/>
        <w:ind w:left="284"/>
        <w:jc w:val="both"/>
      </w:pPr>
      <w:r w:rsidRPr="003112D2">
        <w:lastRenderedPageBreak/>
        <w:t xml:space="preserve">Jeżeli Wnioskodawca prowadził konsultacje społeczne dotyczące uruchomienia i przebiegu trasy nowej, w tym miejscu należy przedstawić ich wyniki i najważniejsze wnioski. </w:t>
      </w:r>
    </w:p>
    <w:p w14:paraId="2926BB22" w14:textId="77777777" w:rsidR="0083126D" w:rsidRPr="003112D2" w:rsidRDefault="0083126D" w:rsidP="0057163A">
      <w:pPr>
        <w:spacing w:after="0"/>
        <w:ind w:left="284"/>
        <w:jc w:val="both"/>
      </w:pPr>
    </w:p>
    <w:p w14:paraId="4DE5C52B" w14:textId="77777777" w:rsidR="0083126D" w:rsidRPr="003112D2" w:rsidRDefault="0083126D" w:rsidP="0083126D">
      <w:pPr>
        <w:spacing w:after="0"/>
        <w:ind w:left="284"/>
        <w:jc w:val="both"/>
      </w:pPr>
      <w:r w:rsidRPr="003112D2">
        <w:t xml:space="preserve">Podsumowaniem tej części analizy powinno być jednoznaczne wskazanie wybranego zakresu </w:t>
      </w:r>
      <w:r w:rsidR="0008612E" w:rsidRPr="003112D2">
        <w:t>przedsięwzięcia</w:t>
      </w:r>
      <w:r w:rsidRPr="003112D2">
        <w:t>, w tym trasy i autobusów.</w:t>
      </w:r>
    </w:p>
    <w:p w14:paraId="02C9D6D8" w14:textId="77777777" w:rsidR="0083126D" w:rsidRPr="003112D2" w:rsidRDefault="0083126D" w:rsidP="0057163A">
      <w:pPr>
        <w:spacing w:after="0"/>
        <w:ind w:left="284"/>
        <w:jc w:val="both"/>
      </w:pPr>
    </w:p>
    <w:p w14:paraId="1443D63E" w14:textId="77777777" w:rsidR="0083126D" w:rsidRPr="003112D2" w:rsidRDefault="0083126D" w:rsidP="0057163A">
      <w:pPr>
        <w:spacing w:after="0"/>
        <w:ind w:left="284"/>
        <w:jc w:val="both"/>
        <w:rPr>
          <w:b/>
        </w:rPr>
      </w:pPr>
      <w:r w:rsidRPr="003112D2">
        <w:rPr>
          <w:b/>
        </w:rPr>
        <w:t>Trasa istniejąca oraz trasa nowa</w:t>
      </w:r>
    </w:p>
    <w:p w14:paraId="097EBDBB" w14:textId="77777777" w:rsidR="0083126D" w:rsidRPr="003112D2" w:rsidRDefault="0083126D" w:rsidP="00C34304">
      <w:pPr>
        <w:spacing w:after="0"/>
        <w:ind w:left="284"/>
        <w:jc w:val="both"/>
      </w:pPr>
      <w:r w:rsidRPr="003112D2">
        <w:t xml:space="preserve">Jeżeli Wnioskodawca wybrał do realizacji </w:t>
      </w:r>
      <w:r w:rsidR="007A5263" w:rsidRPr="003112D2">
        <w:t xml:space="preserve">zarówno </w:t>
      </w:r>
      <w:r w:rsidRPr="003112D2">
        <w:t>trasę istniejącą (trasy istniejące)</w:t>
      </w:r>
      <w:r w:rsidR="007A5263" w:rsidRPr="003112D2">
        <w:t>, jak i</w:t>
      </w:r>
      <w:r w:rsidRPr="003112D2">
        <w:t xml:space="preserve"> trasę nową (trasy nowe), należy przeprowadzić analizę wariantów dla obu typów tras zgodnie z opisem powyżej oraz uzasadnić, w jaki sposób trasa nowa realizuje potrzeby, których nie realizuje trasa istniejąca (trasy istniejące). </w:t>
      </w:r>
    </w:p>
    <w:p w14:paraId="3367FEE1" w14:textId="77777777" w:rsidR="00097F66" w:rsidRPr="003112D2" w:rsidRDefault="00097F66" w:rsidP="00C34304">
      <w:pPr>
        <w:spacing w:after="0"/>
        <w:ind w:left="284"/>
        <w:jc w:val="both"/>
      </w:pPr>
    </w:p>
    <w:p w14:paraId="0AE824A9" w14:textId="77777777" w:rsidR="005F2E4C" w:rsidRPr="003112D2" w:rsidRDefault="005F2E4C" w:rsidP="005F2E4C">
      <w:pPr>
        <w:pStyle w:val="Akapitzlist"/>
        <w:numPr>
          <w:ilvl w:val="0"/>
          <w:numId w:val="52"/>
        </w:numPr>
        <w:jc w:val="both"/>
        <w:rPr>
          <w:rStyle w:val="Nagwek3Znak"/>
          <w:color w:val="auto"/>
        </w:rPr>
      </w:pPr>
      <w:bookmarkStart w:id="12" w:name="_Toc136952673"/>
      <w:r w:rsidRPr="003112D2">
        <w:rPr>
          <w:rStyle w:val="Nagwek3Znak"/>
          <w:color w:val="auto"/>
        </w:rPr>
        <w:t>Analiza operacyjna</w:t>
      </w:r>
      <w:bookmarkEnd w:id="12"/>
    </w:p>
    <w:p w14:paraId="06D318B3" w14:textId="77777777" w:rsidR="002A7E09" w:rsidRPr="003112D2" w:rsidRDefault="002A7E09" w:rsidP="0083126D">
      <w:pPr>
        <w:ind w:left="284"/>
        <w:jc w:val="both"/>
      </w:pPr>
      <w:r w:rsidRPr="003112D2">
        <w:t xml:space="preserve">W części USW poświęconej analizie operacyjnej należy przedstawić poniższą tabelę uzupełnioną według założeń przyjętych dla </w:t>
      </w:r>
      <w:r w:rsidR="0008612E" w:rsidRPr="003112D2">
        <w:t>przedsięwzięcia</w:t>
      </w:r>
      <w:r w:rsidRPr="003112D2">
        <w:t>:</w:t>
      </w:r>
    </w:p>
    <w:p w14:paraId="6B67526F" w14:textId="77777777" w:rsidR="002A7E09" w:rsidRPr="003112D2" w:rsidRDefault="002A7E09" w:rsidP="00407FDB">
      <w:pPr>
        <w:spacing w:after="0"/>
        <w:ind w:left="708"/>
        <w:jc w:val="both"/>
        <w:rPr>
          <w:sz w:val="20"/>
        </w:rPr>
      </w:pPr>
      <w:r w:rsidRPr="003112D2">
        <w:rPr>
          <w:sz w:val="20"/>
        </w:rPr>
        <w:t xml:space="preserve">Tabela 1. Założenia operacyjne </w:t>
      </w:r>
    </w:p>
    <w:tbl>
      <w:tblPr>
        <w:tblW w:w="8200" w:type="dxa"/>
        <w:tblInd w:w="815" w:type="dxa"/>
        <w:tblCellMar>
          <w:left w:w="70" w:type="dxa"/>
          <w:right w:w="70" w:type="dxa"/>
        </w:tblCellMar>
        <w:tblLook w:val="04A0" w:firstRow="1" w:lastRow="0" w:firstColumn="1" w:lastColumn="0" w:noHBand="0" w:noVBand="1"/>
      </w:tblPr>
      <w:tblGrid>
        <w:gridCol w:w="3220"/>
        <w:gridCol w:w="1660"/>
        <w:gridCol w:w="1660"/>
        <w:gridCol w:w="1660"/>
      </w:tblGrid>
      <w:tr w:rsidR="003112D2" w:rsidRPr="003112D2" w14:paraId="030D7D70" w14:textId="77777777" w:rsidTr="00407FDB">
        <w:trPr>
          <w:trHeight w:val="300"/>
        </w:trPr>
        <w:tc>
          <w:tcPr>
            <w:tcW w:w="322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5D24A22" w14:textId="77777777" w:rsidR="002A7E09" w:rsidRPr="003112D2" w:rsidRDefault="002A7E09" w:rsidP="002A7E09">
            <w:pPr>
              <w:spacing w:after="0" w:line="240" w:lineRule="auto"/>
              <w:jc w:val="center"/>
              <w:rPr>
                <w:rFonts w:ascii="Calibri" w:eastAsia="Times New Roman" w:hAnsi="Calibri" w:cs="Calibri"/>
                <w:b/>
                <w:bCs/>
                <w:lang w:eastAsia="pl-PL"/>
              </w:rPr>
            </w:pPr>
            <w:r w:rsidRPr="003112D2">
              <w:rPr>
                <w:rFonts w:ascii="Calibri" w:eastAsia="Times New Roman" w:hAnsi="Calibri" w:cs="Calibri"/>
                <w:b/>
                <w:bCs/>
                <w:lang w:eastAsia="pl-PL"/>
              </w:rPr>
              <w:t>Pozycja</w:t>
            </w:r>
          </w:p>
        </w:tc>
        <w:tc>
          <w:tcPr>
            <w:tcW w:w="1660" w:type="dxa"/>
            <w:tcBorders>
              <w:top w:val="single" w:sz="4" w:space="0" w:color="auto"/>
              <w:left w:val="nil"/>
              <w:bottom w:val="single" w:sz="4" w:space="0" w:color="auto"/>
              <w:right w:val="single" w:sz="4" w:space="0" w:color="auto"/>
            </w:tcBorders>
            <w:shd w:val="clear" w:color="000000" w:fill="FFC000"/>
            <w:noWrap/>
            <w:vAlign w:val="bottom"/>
            <w:hideMark/>
          </w:tcPr>
          <w:p w14:paraId="1F72E414" w14:textId="77777777" w:rsidR="002A7E09" w:rsidRPr="003112D2" w:rsidRDefault="002A7E09" w:rsidP="002A7E09">
            <w:pPr>
              <w:spacing w:after="0" w:line="240" w:lineRule="auto"/>
              <w:jc w:val="center"/>
              <w:rPr>
                <w:rFonts w:ascii="Calibri" w:eastAsia="Times New Roman" w:hAnsi="Calibri" w:cs="Calibri"/>
                <w:b/>
                <w:bCs/>
                <w:lang w:eastAsia="pl-PL"/>
              </w:rPr>
            </w:pPr>
            <w:r w:rsidRPr="003112D2">
              <w:rPr>
                <w:rFonts w:ascii="Calibri" w:eastAsia="Times New Roman" w:hAnsi="Calibri" w:cs="Calibri"/>
                <w:b/>
                <w:bCs/>
                <w:lang w:eastAsia="pl-PL"/>
              </w:rPr>
              <w:t>Jednostka</w:t>
            </w:r>
          </w:p>
        </w:tc>
        <w:tc>
          <w:tcPr>
            <w:tcW w:w="1660" w:type="dxa"/>
            <w:tcBorders>
              <w:top w:val="single" w:sz="4" w:space="0" w:color="auto"/>
              <w:left w:val="nil"/>
              <w:bottom w:val="single" w:sz="4" w:space="0" w:color="auto"/>
              <w:right w:val="single" w:sz="4" w:space="0" w:color="auto"/>
            </w:tcBorders>
            <w:shd w:val="clear" w:color="000000" w:fill="FFC000"/>
            <w:noWrap/>
            <w:vAlign w:val="bottom"/>
            <w:hideMark/>
          </w:tcPr>
          <w:p w14:paraId="15A49222" w14:textId="77777777" w:rsidR="002A7E09" w:rsidRPr="003112D2" w:rsidRDefault="002A7E09" w:rsidP="002A7E09">
            <w:pPr>
              <w:spacing w:after="0" w:line="240" w:lineRule="auto"/>
              <w:jc w:val="center"/>
              <w:rPr>
                <w:rFonts w:ascii="Calibri" w:eastAsia="Times New Roman" w:hAnsi="Calibri" w:cs="Calibri"/>
                <w:b/>
                <w:bCs/>
                <w:lang w:eastAsia="pl-PL"/>
              </w:rPr>
            </w:pPr>
            <w:r w:rsidRPr="003112D2">
              <w:rPr>
                <w:rFonts w:ascii="Calibri" w:eastAsia="Times New Roman" w:hAnsi="Calibri" w:cs="Calibri"/>
                <w:b/>
                <w:bCs/>
                <w:lang w:eastAsia="pl-PL"/>
              </w:rPr>
              <w:t>Trasa istniejąca</w:t>
            </w:r>
          </w:p>
        </w:tc>
        <w:tc>
          <w:tcPr>
            <w:tcW w:w="1660" w:type="dxa"/>
            <w:tcBorders>
              <w:top w:val="single" w:sz="4" w:space="0" w:color="auto"/>
              <w:left w:val="nil"/>
              <w:bottom w:val="single" w:sz="4" w:space="0" w:color="auto"/>
              <w:right w:val="single" w:sz="4" w:space="0" w:color="auto"/>
            </w:tcBorders>
            <w:shd w:val="clear" w:color="000000" w:fill="FFC000"/>
            <w:noWrap/>
            <w:vAlign w:val="bottom"/>
            <w:hideMark/>
          </w:tcPr>
          <w:p w14:paraId="6586E509" w14:textId="77777777" w:rsidR="002A7E09" w:rsidRPr="003112D2" w:rsidRDefault="002A7E09" w:rsidP="002A7E09">
            <w:pPr>
              <w:spacing w:after="0" w:line="240" w:lineRule="auto"/>
              <w:jc w:val="center"/>
              <w:rPr>
                <w:rFonts w:ascii="Calibri" w:eastAsia="Times New Roman" w:hAnsi="Calibri" w:cs="Calibri"/>
                <w:b/>
                <w:bCs/>
                <w:lang w:eastAsia="pl-PL"/>
              </w:rPr>
            </w:pPr>
            <w:r w:rsidRPr="003112D2">
              <w:rPr>
                <w:rFonts w:ascii="Calibri" w:eastAsia="Times New Roman" w:hAnsi="Calibri" w:cs="Calibri"/>
                <w:b/>
                <w:bCs/>
                <w:lang w:eastAsia="pl-PL"/>
              </w:rPr>
              <w:t>Trasa nowa</w:t>
            </w:r>
          </w:p>
        </w:tc>
      </w:tr>
      <w:tr w:rsidR="003112D2" w:rsidRPr="003112D2" w14:paraId="02C6659D" w14:textId="77777777" w:rsidTr="00407FDB">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791EC22" w14:textId="77777777" w:rsidR="002A7E09" w:rsidRPr="003112D2" w:rsidRDefault="002A7E09" w:rsidP="002A7E09">
            <w:pPr>
              <w:spacing w:after="0" w:line="240" w:lineRule="auto"/>
              <w:rPr>
                <w:rFonts w:ascii="Calibri" w:eastAsia="Times New Roman" w:hAnsi="Calibri" w:cs="Calibri"/>
                <w:lang w:eastAsia="pl-PL"/>
              </w:rPr>
            </w:pPr>
            <w:r w:rsidRPr="003112D2">
              <w:rPr>
                <w:rFonts w:ascii="Calibri" w:eastAsia="Times New Roman" w:hAnsi="Calibri" w:cs="Calibri"/>
                <w:lang w:eastAsia="pl-PL"/>
              </w:rPr>
              <w:t>Praca eksploatacyjna</w:t>
            </w:r>
          </w:p>
        </w:tc>
        <w:tc>
          <w:tcPr>
            <w:tcW w:w="1660" w:type="dxa"/>
            <w:tcBorders>
              <w:top w:val="nil"/>
              <w:left w:val="nil"/>
              <w:bottom w:val="single" w:sz="4" w:space="0" w:color="auto"/>
              <w:right w:val="single" w:sz="4" w:space="0" w:color="auto"/>
            </w:tcBorders>
            <w:shd w:val="clear" w:color="auto" w:fill="auto"/>
            <w:noWrap/>
            <w:vAlign w:val="bottom"/>
            <w:hideMark/>
          </w:tcPr>
          <w:p w14:paraId="741CA1E7" w14:textId="77777777" w:rsidR="002A7E09" w:rsidRPr="003112D2" w:rsidRDefault="002A7E09" w:rsidP="002A7E09">
            <w:pPr>
              <w:spacing w:after="0" w:line="240" w:lineRule="auto"/>
              <w:jc w:val="center"/>
              <w:rPr>
                <w:rFonts w:ascii="Calibri" w:eastAsia="Times New Roman" w:hAnsi="Calibri" w:cs="Calibri"/>
                <w:lang w:eastAsia="pl-PL"/>
              </w:rPr>
            </w:pPr>
            <w:proofErr w:type="spellStart"/>
            <w:r w:rsidRPr="003112D2">
              <w:rPr>
                <w:rFonts w:ascii="Calibri" w:eastAsia="Times New Roman" w:hAnsi="Calibri" w:cs="Calibri"/>
                <w:lang w:eastAsia="pl-PL"/>
              </w:rPr>
              <w:t>wozokm</w:t>
            </w:r>
            <w:proofErr w:type="spellEnd"/>
            <w:r w:rsidRPr="003112D2">
              <w:rPr>
                <w:rFonts w:ascii="Calibri" w:eastAsia="Times New Roman" w:hAnsi="Calibri" w:cs="Calibri"/>
                <w:lang w:eastAsia="pl-PL"/>
              </w:rPr>
              <w:t>/rok</w:t>
            </w:r>
          </w:p>
        </w:tc>
        <w:tc>
          <w:tcPr>
            <w:tcW w:w="1660" w:type="dxa"/>
            <w:tcBorders>
              <w:top w:val="nil"/>
              <w:left w:val="nil"/>
              <w:bottom w:val="single" w:sz="4" w:space="0" w:color="auto"/>
              <w:right w:val="single" w:sz="4" w:space="0" w:color="auto"/>
            </w:tcBorders>
            <w:shd w:val="clear" w:color="auto" w:fill="auto"/>
            <w:noWrap/>
            <w:vAlign w:val="bottom"/>
            <w:hideMark/>
          </w:tcPr>
          <w:p w14:paraId="097C0BB0" w14:textId="77777777" w:rsidR="002A7E09" w:rsidRPr="003112D2" w:rsidRDefault="002A7E09" w:rsidP="002A7E09">
            <w:pPr>
              <w:spacing w:after="0" w:line="240" w:lineRule="auto"/>
              <w:rPr>
                <w:rFonts w:ascii="Calibri" w:eastAsia="Times New Roman" w:hAnsi="Calibri" w:cs="Calibri"/>
                <w:lang w:eastAsia="pl-PL"/>
              </w:rPr>
            </w:pPr>
            <w:r w:rsidRPr="003112D2">
              <w:rPr>
                <w:rFonts w:ascii="Calibri" w:eastAsia="Times New Roman" w:hAnsi="Calibri" w:cs="Calibri"/>
                <w:lang w:eastAsia="pl-PL"/>
              </w:rPr>
              <w:t> </w:t>
            </w:r>
          </w:p>
        </w:tc>
        <w:tc>
          <w:tcPr>
            <w:tcW w:w="1660" w:type="dxa"/>
            <w:tcBorders>
              <w:top w:val="nil"/>
              <w:left w:val="nil"/>
              <w:bottom w:val="single" w:sz="4" w:space="0" w:color="auto"/>
              <w:right w:val="single" w:sz="4" w:space="0" w:color="auto"/>
            </w:tcBorders>
            <w:shd w:val="clear" w:color="auto" w:fill="auto"/>
            <w:noWrap/>
            <w:vAlign w:val="bottom"/>
            <w:hideMark/>
          </w:tcPr>
          <w:p w14:paraId="76D920A6" w14:textId="77777777" w:rsidR="002A7E09" w:rsidRPr="003112D2" w:rsidRDefault="002A7E09" w:rsidP="002A7E09">
            <w:pPr>
              <w:spacing w:after="0" w:line="240" w:lineRule="auto"/>
              <w:rPr>
                <w:rFonts w:ascii="Calibri" w:eastAsia="Times New Roman" w:hAnsi="Calibri" w:cs="Calibri"/>
                <w:lang w:eastAsia="pl-PL"/>
              </w:rPr>
            </w:pPr>
            <w:r w:rsidRPr="003112D2">
              <w:rPr>
                <w:rFonts w:ascii="Calibri" w:eastAsia="Times New Roman" w:hAnsi="Calibri" w:cs="Calibri"/>
                <w:lang w:eastAsia="pl-PL"/>
              </w:rPr>
              <w:t> </w:t>
            </w:r>
          </w:p>
        </w:tc>
      </w:tr>
      <w:tr w:rsidR="003112D2" w:rsidRPr="003112D2" w14:paraId="46E58E61" w14:textId="77777777" w:rsidTr="00407FDB">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034DB54" w14:textId="77777777" w:rsidR="002A7E09" w:rsidRPr="003112D2" w:rsidRDefault="002A7E09" w:rsidP="002A7E09">
            <w:pPr>
              <w:spacing w:after="0" w:line="240" w:lineRule="auto"/>
              <w:rPr>
                <w:rFonts w:ascii="Calibri" w:eastAsia="Times New Roman" w:hAnsi="Calibri" w:cs="Calibri"/>
                <w:lang w:eastAsia="pl-PL"/>
              </w:rPr>
            </w:pPr>
            <w:r w:rsidRPr="003112D2">
              <w:rPr>
                <w:rFonts w:ascii="Calibri" w:eastAsia="Times New Roman" w:hAnsi="Calibri" w:cs="Calibri"/>
                <w:lang w:eastAsia="pl-PL"/>
              </w:rPr>
              <w:t>Liczba przewiezionych pasażerów</w:t>
            </w:r>
          </w:p>
        </w:tc>
        <w:tc>
          <w:tcPr>
            <w:tcW w:w="1660" w:type="dxa"/>
            <w:tcBorders>
              <w:top w:val="nil"/>
              <w:left w:val="nil"/>
              <w:bottom w:val="single" w:sz="4" w:space="0" w:color="auto"/>
              <w:right w:val="single" w:sz="4" w:space="0" w:color="auto"/>
            </w:tcBorders>
            <w:shd w:val="clear" w:color="auto" w:fill="auto"/>
            <w:noWrap/>
            <w:vAlign w:val="bottom"/>
            <w:hideMark/>
          </w:tcPr>
          <w:p w14:paraId="56CEEE33" w14:textId="77777777" w:rsidR="002A7E09" w:rsidRPr="003112D2" w:rsidRDefault="002A7E09" w:rsidP="002A7E09">
            <w:pPr>
              <w:spacing w:after="0" w:line="240" w:lineRule="auto"/>
              <w:jc w:val="center"/>
              <w:rPr>
                <w:rFonts w:ascii="Calibri" w:eastAsia="Times New Roman" w:hAnsi="Calibri" w:cs="Calibri"/>
                <w:lang w:eastAsia="pl-PL"/>
              </w:rPr>
            </w:pPr>
            <w:r w:rsidRPr="003112D2">
              <w:rPr>
                <w:rFonts w:ascii="Calibri" w:eastAsia="Times New Roman" w:hAnsi="Calibri" w:cs="Calibri"/>
                <w:lang w:eastAsia="pl-PL"/>
              </w:rPr>
              <w:t>pas/rok</w:t>
            </w:r>
          </w:p>
        </w:tc>
        <w:tc>
          <w:tcPr>
            <w:tcW w:w="1660" w:type="dxa"/>
            <w:tcBorders>
              <w:top w:val="nil"/>
              <w:left w:val="nil"/>
              <w:bottom w:val="single" w:sz="4" w:space="0" w:color="auto"/>
              <w:right w:val="single" w:sz="4" w:space="0" w:color="auto"/>
            </w:tcBorders>
            <w:shd w:val="clear" w:color="auto" w:fill="auto"/>
            <w:noWrap/>
            <w:vAlign w:val="bottom"/>
            <w:hideMark/>
          </w:tcPr>
          <w:p w14:paraId="5B94EC59" w14:textId="77777777" w:rsidR="002A7E09" w:rsidRPr="003112D2" w:rsidRDefault="002A7E09" w:rsidP="002A7E09">
            <w:pPr>
              <w:spacing w:after="0" w:line="240" w:lineRule="auto"/>
              <w:rPr>
                <w:rFonts w:ascii="Calibri" w:eastAsia="Times New Roman" w:hAnsi="Calibri" w:cs="Calibri"/>
                <w:lang w:eastAsia="pl-PL"/>
              </w:rPr>
            </w:pPr>
            <w:r w:rsidRPr="003112D2">
              <w:rPr>
                <w:rFonts w:ascii="Calibri" w:eastAsia="Times New Roman" w:hAnsi="Calibri" w:cs="Calibri"/>
                <w:lang w:eastAsia="pl-PL"/>
              </w:rPr>
              <w:t> </w:t>
            </w:r>
          </w:p>
        </w:tc>
        <w:tc>
          <w:tcPr>
            <w:tcW w:w="1660" w:type="dxa"/>
            <w:tcBorders>
              <w:top w:val="nil"/>
              <w:left w:val="nil"/>
              <w:bottom w:val="single" w:sz="4" w:space="0" w:color="auto"/>
              <w:right w:val="single" w:sz="4" w:space="0" w:color="auto"/>
            </w:tcBorders>
            <w:shd w:val="clear" w:color="auto" w:fill="auto"/>
            <w:noWrap/>
            <w:vAlign w:val="bottom"/>
            <w:hideMark/>
          </w:tcPr>
          <w:p w14:paraId="7B3BF9A8" w14:textId="77777777" w:rsidR="002A7E09" w:rsidRPr="003112D2" w:rsidRDefault="002A7E09" w:rsidP="002A7E09">
            <w:pPr>
              <w:spacing w:after="0" w:line="240" w:lineRule="auto"/>
              <w:rPr>
                <w:rFonts w:ascii="Calibri" w:eastAsia="Times New Roman" w:hAnsi="Calibri" w:cs="Calibri"/>
                <w:lang w:eastAsia="pl-PL"/>
              </w:rPr>
            </w:pPr>
            <w:r w:rsidRPr="003112D2">
              <w:rPr>
                <w:rFonts w:ascii="Calibri" w:eastAsia="Times New Roman" w:hAnsi="Calibri" w:cs="Calibri"/>
                <w:lang w:eastAsia="pl-PL"/>
              </w:rPr>
              <w:t> </w:t>
            </w:r>
          </w:p>
        </w:tc>
      </w:tr>
      <w:tr w:rsidR="003112D2" w:rsidRPr="003112D2" w14:paraId="1BD276DE" w14:textId="77777777" w:rsidTr="00407FDB">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F93EBE3" w14:textId="77777777" w:rsidR="002A7E09" w:rsidRPr="003112D2" w:rsidRDefault="002A7E09" w:rsidP="002A7E09">
            <w:pPr>
              <w:spacing w:after="0" w:line="240" w:lineRule="auto"/>
              <w:rPr>
                <w:rFonts w:ascii="Calibri" w:eastAsia="Times New Roman" w:hAnsi="Calibri" w:cs="Calibri"/>
                <w:lang w:eastAsia="pl-PL"/>
              </w:rPr>
            </w:pPr>
            <w:r w:rsidRPr="003112D2">
              <w:rPr>
                <w:rFonts w:ascii="Calibri" w:eastAsia="Times New Roman" w:hAnsi="Calibri" w:cs="Calibri"/>
                <w:lang w:eastAsia="pl-PL"/>
              </w:rPr>
              <w:t>Długość trasy</w:t>
            </w:r>
            <w:r w:rsidR="001B4148" w:rsidRPr="003112D2">
              <w:rPr>
                <w:rStyle w:val="Odwoanieprzypisudolnego"/>
                <w:rFonts w:ascii="Calibri" w:eastAsia="Times New Roman" w:hAnsi="Calibri" w:cs="Calibri"/>
                <w:lang w:eastAsia="pl-PL"/>
              </w:rPr>
              <w:footnoteReference w:id="2"/>
            </w:r>
          </w:p>
        </w:tc>
        <w:tc>
          <w:tcPr>
            <w:tcW w:w="1660" w:type="dxa"/>
            <w:tcBorders>
              <w:top w:val="nil"/>
              <w:left w:val="nil"/>
              <w:bottom w:val="single" w:sz="4" w:space="0" w:color="auto"/>
              <w:right w:val="single" w:sz="4" w:space="0" w:color="auto"/>
            </w:tcBorders>
            <w:shd w:val="clear" w:color="auto" w:fill="auto"/>
            <w:noWrap/>
            <w:vAlign w:val="bottom"/>
            <w:hideMark/>
          </w:tcPr>
          <w:p w14:paraId="18CD5CB4" w14:textId="77777777" w:rsidR="002A7E09" w:rsidRPr="003112D2" w:rsidRDefault="002A7E09" w:rsidP="002A7E09">
            <w:pPr>
              <w:spacing w:after="0" w:line="240" w:lineRule="auto"/>
              <w:jc w:val="center"/>
              <w:rPr>
                <w:rFonts w:ascii="Calibri" w:eastAsia="Times New Roman" w:hAnsi="Calibri" w:cs="Calibri"/>
                <w:lang w:eastAsia="pl-PL"/>
              </w:rPr>
            </w:pPr>
            <w:r w:rsidRPr="003112D2">
              <w:rPr>
                <w:rFonts w:ascii="Calibri" w:eastAsia="Times New Roman" w:hAnsi="Calibri" w:cs="Calibri"/>
                <w:lang w:eastAsia="pl-PL"/>
              </w:rPr>
              <w:t>km</w:t>
            </w:r>
          </w:p>
        </w:tc>
        <w:tc>
          <w:tcPr>
            <w:tcW w:w="1660" w:type="dxa"/>
            <w:tcBorders>
              <w:top w:val="nil"/>
              <w:left w:val="nil"/>
              <w:bottom w:val="single" w:sz="4" w:space="0" w:color="auto"/>
              <w:right w:val="single" w:sz="4" w:space="0" w:color="auto"/>
            </w:tcBorders>
            <w:shd w:val="clear" w:color="auto" w:fill="auto"/>
            <w:noWrap/>
            <w:vAlign w:val="bottom"/>
            <w:hideMark/>
          </w:tcPr>
          <w:p w14:paraId="196A14F9" w14:textId="77777777" w:rsidR="002A7E09" w:rsidRPr="003112D2" w:rsidRDefault="002A7E09" w:rsidP="002A7E09">
            <w:pPr>
              <w:spacing w:after="0" w:line="240" w:lineRule="auto"/>
              <w:rPr>
                <w:rFonts w:ascii="Calibri" w:eastAsia="Times New Roman" w:hAnsi="Calibri" w:cs="Calibri"/>
                <w:lang w:eastAsia="pl-PL"/>
              </w:rPr>
            </w:pPr>
            <w:r w:rsidRPr="003112D2">
              <w:rPr>
                <w:rFonts w:ascii="Calibri" w:eastAsia="Times New Roman" w:hAnsi="Calibri" w:cs="Calibri"/>
                <w:lang w:eastAsia="pl-PL"/>
              </w:rPr>
              <w:t> </w:t>
            </w:r>
          </w:p>
        </w:tc>
        <w:tc>
          <w:tcPr>
            <w:tcW w:w="1660" w:type="dxa"/>
            <w:tcBorders>
              <w:top w:val="nil"/>
              <w:left w:val="nil"/>
              <w:bottom w:val="single" w:sz="4" w:space="0" w:color="auto"/>
              <w:right w:val="single" w:sz="4" w:space="0" w:color="auto"/>
            </w:tcBorders>
            <w:shd w:val="clear" w:color="auto" w:fill="auto"/>
            <w:noWrap/>
            <w:vAlign w:val="bottom"/>
            <w:hideMark/>
          </w:tcPr>
          <w:p w14:paraId="15B3550C" w14:textId="77777777" w:rsidR="002A7E09" w:rsidRPr="003112D2" w:rsidRDefault="002A7E09" w:rsidP="002A7E09">
            <w:pPr>
              <w:spacing w:after="0" w:line="240" w:lineRule="auto"/>
              <w:rPr>
                <w:rFonts w:ascii="Calibri" w:eastAsia="Times New Roman" w:hAnsi="Calibri" w:cs="Calibri"/>
                <w:lang w:eastAsia="pl-PL"/>
              </w:rPr>
            </w:pPr>
            <w:r w:rsidRPr="003112D2">
              <w:rPr>
                <w:rFonts w:ascii="Calibri" w:eastAsia="Times New Roman" w:hAnsi="Calibri" w:cs="Calibri"/>
                <w:lang w:eastAsia="pl-PL"/>
              </w:rPr>
              <w:t> </w:t>
            </w:r>
          </w:p>
        </w:tc>
      </w:tr>
      <w:tr w:rsidR="002A7E09" w:rsidRPr="003112D2" w14:paraId="59680381" w14:textId="77777777" w:rsidTr="00407FDB">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426DD64" w14:textId="77777777" w:rsidR="002A7E09" w:rsidRPr="003112D2" w:rsidRDefault="002A7E09" w:rsidP="002A7E09">
            <w:pPr>
              <w:spacing w:after="0" w:line="240" w:lineRule="auto"/>
              <w:rPr>
                <w:rFonts w:ascii="Calibri" w:eastAsia="Times New Roman" w:hAnsi="Calibri" w:cs="Calibri"/>
                <w:lang w:eastAsia="pl-PL"/>
              </w:rPr>
            </w:pPr>
            <w:r w:rsidRPr="003112D2">
              <w:rPr>
                <w:rFonts w:ascii="Calibri" w:eastAsia="Times New Roman" w:hAnsi="Calibri" w:cs="Calibri"/>
                <w:lang w:eastAsia="pl-PL"/>
              </w:rPr>
              <w:t>Średnia długość podróży</w:t>
            </w:r>
          </w:p>
        </w:tc>
        <w:tc>
          <w:tcPr>
            <w:tcW w:w="1660" w:type="dxa"/>
            <w:tcBorders>
              <w:top w:val="nil"/>
              <w:left w:val="nil"/>
              <w:bottom w:val="single" w:sz="4" w:space="0" w:color="auto"/>
              <w:right w:val="single" w:sz="4" w:space="0" w:color="auto"/>
            </w:tcBorders>
            <w:shd w:val="clear" w:color="auto" w:fill="auto"/>
            <w:noWrap/>
            <w:vAlign w:val="bottom"/>
            <w:hideMark/>
          </w:tcPr>
          <w:p w14:paraId="12082EC1" w14:textId="77777777" w:rsidR="002A7E09" w:rsidRPr="003112D2" w:rsidRDefault="002A7E09" w:rsidP="002A7E09">
            <w:pPr>
              <w:spacing w:after="0" w:line="240" w:lineRule="auto"/>
              <w:jc w:val="center"/>
              <w:rPr>
                <w:rFonts w:ascii="Calibri" w:eastAsia="Times New Roman" w:hAnsi="Calibri" w:cs="Calibri"/>
                <w:lang w:eastAsia="pl-PL"/>
              </w:rPr>
            </w:pPr>
            <w:r w:rsidRPr="003112D2">
              <w:rPr>
                <w:rFonts w:ascii="Calibri" w:eastAsia="Times New Roman" w:hAnsi="Calibri" w:cs="Calibri"/>
                <w:lang w:eastAsia="pl-PL"/>
              </w:rPr>
              <w:t>km</w:t>
            </w:r>
          </w:p>
        </w:tc>
        <w:tc>
          <w:tcPr>
            <w:tcW w:w="1660" w:type="dxa"/>
            <w:tcBorders>
              <w:top w:val="nil"/>
              <w:left w:val="nil"/>
              <w:bottom w:val="single" w:sz="4" w:space="0" w:color="auto"/>
              <w:right w:val="single" w:sz="4" w:space="0" w:color="auto"/>
            </w:tcBorders>
            <w:shd w:val="clear" w:color="auto" w:fill="auto"/>
            <w:noWrap/>
            <w:vAlign w:val="bottom"/>
            <w:hideMark/>
          </w:tcPr>
          <w:p w14:paraId="5EF66B77" w14:textId="77777777" w:rsidR="002A7E09" w:rsidRPr="003112D2" w:rsidRDefault="002A7E09" w:rsidP="002A7E09">
            <w:pPr>
              <w:spacing w:after="0" w:line="240" w:lineRule="auto"/>
              <w:rPr>
                <w:rFonts w:ascii="Calibri" w:eastAsia="Times New Roman" w:hAnsi="Calibri" w:cs="Calibri"/>
                <w:lang w:eastAsia="pl-PL"/>
              </w:rPr>
            </w:pPr>
            <w:r w:rsidRPr="003112D2">
              <w:rPr>
                <w:rFonts w:ascii="Calibri" w:eastAsia="Times New Roman" w:hAnsi="Calibri" w:cs="Calibri"/>
                <w:lang w:eastAsia="pl-PL"/>
              </w:rPr>
              <w:t> </w:t>
            </w:r>
          </w:p>
        </w:tc>
        <w:tc>
          <w:tcPr>
            <w:tcW w:w="1660" w:type="dxa"/>
            <w:tcBorders>
              <w:top w:val="nil"/>
              <w:left w:val="nil"/>
              <w:bottom w:val="single" w:sz="4" w:space="0" w:color="auto"/>
              <w:right w:val="single" w:sz="4" w:space="0" w:color="auto"/>
            </w:tcBorders>
            <w:shd w:val="clear" w:color="auto" w:fill="auto"/>
            <w:noWrap/>
            <w:vAlign w:val="bottom"/>
            <w:hideMark/>
          </w:tcPr>
          <w:p w14:paraId="2E85ADC4" w14:textId="77777777" w:rsidR="002A7E09" w:rsidRPr="003112D2" w:rsidRDefault="002A7E09" w:rsidP="002A7E09">
            <w:pPr>
              <w:spacing w:after="0" w:line="240" w:lineRule="auto"/>
              <w:rPr>
                <w:rFonts w:ascii="Calibri" w:eastAsia="Times New Roman" w:hAnsi="Calibri" w:cs="Calibri"/>
                <w:lang w:eastAsia="pl-PL"/>
              </w:rPr>
            </w:pPr>
            <w:r w:rsidRPr="003112D2">
              <w:rPr>
                <w:rFonts w:ascii="Calibri" w:eastAsia="Times New Roman" w:hAnsi="Calibri" w:cs="Calibri"/>
                <w:lang w:eastAsia="pl-PL"/>
              </w:rPr>
              <w:t> </w:t>
            </w:r>
          </w:p>
        </w:tc>
      </w:tr>
    </w:tbl>
    <w:p w14:paraId="065B5AC3" w14:textId="77777777" w:rsidR="002A7E09" w:rsidRPr="003112D2" w:rsidRDefault="002A7E09" w:rsidP="0083126D">
      <w:pPr>
        <w:ind w:left="284"/>
        <w:jc w:val="both"/>
      </w:pPr>
    </w:p>
    <w:p w14:paraId="79B597B8" w14:textId="77777777" w:rsidR="002A7E09" w:rsidRPr="003112D2" w:rsidRDefault="002A7E09" w:rsidP="0083126D">
      <w:pPr>
        <w:ind w:left="284"/>
        <w:jc w:val="both"/>
      </w:pPr>
      <w:r w:rsidRPr="003112D2">
        <w:t>Pod tabelą konieczne jest</w:t>
      </w:r>
      <w:r w:rsidR="00D60375" w:rsidRPr="003112D2">
        <w:t xml:space="preserve"> wyczerpujące</w:t>
      </w:r>
      <w:r w:rsidR="00115093" w:rsidRPr="003112D2">
        <w:t xml:space="preserve"> opisanie </w:t>
      </w:r>
      <w:r w:rsidR="00407FDB" w:rsidRPr="003112D2">
        <w:t>sposobu określenia</w:t>
      </w:r>
      <w:r w:rsidRPr="003112D2">
        <w:t xml:space="preserve"> poszczególnych pozycji, przy nast</w:t>
      </w:r>
      <w:r w:rsidR="00115093" w:rsidRPr="003112D2">
        <w:t>ępujących zastrzeżeniach:</w:t>
      </w:r>
    </w:p>
    <w:p w14:paraId="468A667A" w14:textId="725BA096" w:rsidR="002A7E09" w:rsidRPr="003112D2" w:rsidRDefault="002A7E09" w:rsidP="003E6901">
      <w:pPr>
        <w:pStyle w:val="Akapitzlist"/>
        <w:numPr>
          <w:ilvl w:val="0"/>
          <w:numId w:val="58"/>
        </w:numPr>
        <w:jc w:val="both"/>
      </w:pPr>
      <w:r w:rsidRPr="003112D2">
        <w:t>Jeżeli w pr</w:t>
      </w:r>
      <w:r w:rsidR="001F5B87" w:rsidRPr="003112D2">
        <w:t>zedsięwzięciu</w:t>
      </w:r>
      <w:r w:rsidRPr="003112D2">
        <w:t xml:space="preserve"> przewiduje się więcej niż jedną trasę istniejącą i/lub trasę nową, </w:t>
      </w:r>
      <w:r w:rsidR="00102A53" w:rsidRPr="003112D2">
        <w:t>zalecane jest rozbicie pozycji dla poszczególnych tras, nazwanych tak</w:t>
      </w:r>
      <w:r w:rsidR="00355171" w:rsidRPr="003112D2">
        <w:t>,</w:t>
      </w:r>
      <w:r w:rsidR="00102A53" w:rsidRPr="003112D2">
        <w:t xml:space="preserve"> aby można było je zidentyfikować, a następnie podanie w kolumnie zbiorczej wartości dla tras istniejących („Trasa istniejąca”) oraz zbiorczej wartości dla tras nowych („Trasa nowa”)</w:t>
      </w:r>
      <w:r w:rsidR="00CB175B" w:rsidRPr="003112D2">
        <w:rPr>
          <w:rStyle w:val="Odwoanieprzypisudolnego"/>
        </w:rPr>
        <w:footnoteReference w:id="3"/>
      </w:r>
      <w:r w:rsidR="007D3208" w:rsidRPr="003112D2">
        <w:t>.</w:t>
      </w:r>
    </w:p>
    <w:p w14:paraId="468A413E" w14:textId="77777777" w:rsidR="002A7E09" w:rsidRPr="003112D2" w:rsidRDefault="002A7E09" w:rsidP="003E6901">
      <w:pPr>
        <w:pStyle w:val="Akapitzlist"/>
        <w:numPr>
          <w:ilvl w:val="0"/>
          <w:numId w:val="58"/>
        </w:numPr>
        <w:jc w:val="both"/>
      </w:pPr>
      <w:r w:rsidRPr="003112D2">
        <w:t>Roczna praca eksploatacyjna (w konkursie tożsama z pracą</w:t>
      </w:r>
      <w:r w:rsidR="007D3208" w:rsidRPr="003112D2">
        <w:t xml:space="preserve"> przewozową</w:t>
      </w:r>
      <w:r w:rsidRPr="003112D2">
        <w:t>)</w:t>
      </w:r>
      <w:r w:rsidR="007D3208" w:rsidRPr="003112D2">
        <w:t xml:space="preserve"> dotyczy wszystkich autobusów na trasie, nie pojedynczych autobusów.</w:t>
      </w:r>
    </w:p>
    <w:p w14:paraId="40F5C915" w14:textId="77777777" w:rsidR="007D3208" w:rsidRPr="003112D2" w:rsidRDefault="007D3208" w:rsidP="003E6901">
      <w:pPr>
        <w:pStyle w:val="Akapitzlist"/>
        <w:numPr>
          <w:ilvl w:val="0"/>
          <w:numId w:val="58"/>
        </w:numPr>
        <w:jc w:val="both"/>
      </w:pPr>
      <w:r w:rsidRPr="003112D2">
        <w:t>Roczna liczba przewiezionych pasażerów powinna uwzględniać m.in. liczbę miejsc w autobusach (maksymalne możliwe napełnienie), częstotliwość kursowania (niska częstotliwość może wpływać na niskie zainteresowanie korzystaniem z transportu zbiorowego).</w:t>
      </w:r>
    </w:p>
    <w:p w14:paraId="302FF123" w14:textId="77777777" w:rsidR="007D3208" w:rsidRPr="003112D2" w:rsidRDefault="007D3208" w:rsidP="003E6901">
      <w:pPr>
        <w:pStyle w:val="Akapitzlist"/>
        <w:numPr>
          <w:ilvl w:val="0"/>
          <w:numId w:val="58"/>
        </w:numPr>
        <w:jc w:val="both"/>
      </w:pPr>
      <w:r w:rsidRPr="003112D2">
        <w:t>Długość trasy dotyczy trasy w jedną stronę.</w:t>
      </w:r>
    </w:p>
    <w:p w14:paraId="3A42A2A2" w14:textId="77777777" w:rsidR="00C83FF0" w:rsidRPr="003112D2" w:rsidRDefault="007D3208" w:rsidP="003E6901">
      <w:pPr>
        <w:pStyle w:val="Akapitzlist"/>
        <w:numPr>
          <w:ilvl w:val="0"/>
          <w:numId w:val="58"/>
        </w:numPr>
        <w:jc w:val="both"/>
      </w:pPr>
      <w:r w:rsidRPr="003112D2">
        <w:t>Średnia długość podróży powinna uwzględniać specyfikę danej trasy</w:t>
      </w:r>
      <w:r w:rsidR="0080429A" w:rsidRPr="003112D2">
        <w:t xml:space="preserve">. </w:t>
      </w:r>
    </w:p>
    <w:p w14:paraId="2965EF4E" w14:textId="77777777" w:rsidR="00C83FF0" w:rsidRPr="003112D2" w:rsidRDefault="0080429A" w:rsidP="003E6901">
      <w:pPr>
        <w:pStyle w:val="Akapitzlist"/>
        <w:ind w:left="644"/>
        <w:jc w:val="both"/>
      </w:pPr>
      <w:r w:rsidRPr="003112D2">
        <w:t>Przykład [1] t</w:t>
      </w:r>
      <w:r w:rsidR="007D3208" w:rsidRPr="003112D2">
        <w:t xml:space="preserve">rasa </w:t>
      </w:r>
      <w:r w:rsidR="009C7E9B" w:rsidRPr="003112D2">
        <w:t xml:space="preserve">istniejąca </w:t>
      </w:r>
      <w:r w:rsidR="007D3208" w:rsidRPr="003112D2">
        <w:t>ma 30 km</w:t>
      </w:r>
      <w:r w:rsidRPr="003112D2">
        <w:t>, ale tylko część pasażerów wsiada na pierwszym przystanku i wysiada na ostatnim, większość pasażerów przejeżdża tylko część przystanków</w:t>
      </w:r>
      <w:r w:rsidR="009C7E9B" w:rsidRPr="003112D2">
        <w:t>, stąd szacowana średnia długość podróży wynosi 20 km</w:t>
      </w:r>
      <w:r w:rsidRPr="003112D2">
        <w:t xml:space="preserve">. </w:t>
      </w:r>
    </w:p>
    <w:p w14:paraId="469A3DA1" w14:textId="6532C98F" w:rsidR="007D3208" w:rsidRPr="003112D2" w:rsidRDefault="009C7E9B" w:rsidP="003E6901">
      <w:pPr>
        <w:pStyle w:val="Akapitzlist"/>
        <w:ind w:left="644"/>
        <w:jc w:val="both"/>
      </w:pPr>
      <w:r w:rsidRPr="003112D2">
        <w:t xml:space="preserve">Przykład [2] trasa nowa ma mieć 30 km, ale prognozując jej przebieg można oszacować, że tylko </w:t>
      </w:r>
      <w:r w:rsidR="007149B8" w:rsidRPr="003112D2">
        <w:t xml:space="preserve">niewielka </w:t>
      </w:r>
      <w:r w:rsidRPr="003112D2">
        <w:t>cz</w:t>
      </w:r>
      <w:r w:rsidR="007149B8" w:rsidRPr="003112D2">
        <w:t>ę</w:t>
      </w:r>
      <w:r w:rsidRPr="003112D2">
        <w:t xml:space="preserve">ść pasażerów wsiądzie na pierwszym przystanku i wysiądzie na ostatnim, </w:t>
      </w:r>
      <w:r w:rsidRPr="003112D2">
        <w:lastRenderedPageBreak/>
        <w:t>większość pasażerów wsiądzie na przystankach początkowych i wysiądzie na stacji kolejowej w poł</w:t>
      </w:r>
      <w:r w:rsidR="007149B8" w:rsidRPr="003112D2">
        <w:t>owie trasy lub</w:t>
      </w:r>
      <w:r w:rsidRPr="003112D2">
        <w:t xml:space="preserve"> wsiądzie na stacji kolejowej i wysiądzie na przystankach końcowych, stąd szacowana średnia długość podróży wyniesie 15 km.</w:t>
      </w:r>
    </w:p>
    <w:p w14:paraId="686B719D" w14:textId="70795238" w:rsidR="00AB7276" w:rsidRPr="003112D2" w:rsidRDefault="00AB7276" w:rsidP="003E6901">
      <w:pPr>
        <w:pStyle w:val="Akapitzlist"/>
        <w:ind w:left="644"/>
        <w:jc w:val="both"/>
      </w:pPr>
    </w:p>
    <w:p w14:paraId="79541E82" w14:textId="464C3DD8" w:rsidR="00AB7276" w:rsidRPr="003112D2" w:rsidRDefault="00AB7276" w:rsidP="00CB175B">
      <w:pPr>
        <w:jc w:val="both"/>
        <w:rPr>
          <w:lang w:eastAsia="nb-NO"/>
        </w:rPr>
      </w:pPr>
      <w:r w:rsidRPr="003112D2">
        <w:rPr>
          <w:lang w:eastAsia="nb-NO"/>
        </w:rPr>
        <w:t>Należy wskazać, w jaki sposób uzgodniono pomiędzy operatorem a organizatorem przyszłe uruchomienie nowych i wydłużonych tras autobusowych, w tym zwiększenie z tego tytułu przyszłych wydatków organizatora na rekompensatę dla operatora tych tras po zakupie nowych autobusów. Prosimy o podanie dat otrzymania takich uzgodnień i jeżeli były wyrażone na piśmie – załączenie ich do Wniosku. Jeżeli zwiększenie pracy eksploatacyjnej jest przewidziane w </w:t>
      </w:r>
      <w:r w:rsidR="00300D31" w:rsidRPr="003112D2">
        <w:rPr>
          <w:lang w:eastAsia="nb-NO"/>
        </w:rPr>
        <w:t>WPF o</w:t>
      </w:r>
      <w:r w:rsidRPr="003112D2">
        <w:rPr>
          <w:lang w:eastAsia="nb-NO"/>
        </w:rPr>
        <w:t>rganizatora, to należy wskazać pozycję, w której jest ono uwzględnione.</w:t>
      </w:r>
    </w:p>
    <w:p w14:paraId="59219B72" w14:textId="7152137C" w:rsidR="00300D31" w:rsidRPr="003112D2" w:rsidRDefault="00300D31" w:rsidP="00CB175B">
      <w:pPr>
        <w:spacing w:after="120" w:line="276" w:lineRule="auto"/>
        <w:jc w:val="both"/>
        <w:rPr>
          <w:lang w:eastAsia="nb-NO"/>
        </w:rPr>
      </w:pPr>
      <w:r w:rsidRPr="003112D2">
        <w:rPr>
          <w:lang w:eastAsia="nb-NO"/>
        </w:rPr>
        <w:t xml:space="preserve">Na potrzeby wyliczenia średniej długości podróży na kilku nowych liniach należy wykorzystać średnią ważoną udziałami nowych pasażerów danej linii w całości liczby nowych pasażerów. </w:t>
      </w:r>
    </w:p>
    <w:p w14:paraId="74C261F2" w14:textId="2962509A" w:rsidR="00D20276" w:rsidRPr="003112D2" w:rsidRDefault="00D20276" w:rsidP="00CB175B">
      <w:pPr>
        <w:spacing w:after="120" w:line="276" w:lineRule="auto"/>
        <w:jc w:val="both"/>
        <w:rPr>
          <w:lang w:eastAsia="nb-NO"/>
        </w:rPr>
      </w:pPr>
      <w:r w:rsidRPr="003112D2">
        <w:rPr>
          <w:lang w:eastAsia="nb-NO"/>
        </w:rPr>
        <w:t xml:space="preserve">Ponadto, należy zaprezentować informacje dotyczące </w:t>
      </w:r>
      <w:proofErr w:type="spellStart"/>
      <w:r w:rsidRPr="003112D2">
        <w:rPr>
          <w:lang w:eastAsia="nb-NO"/>
        </w:rPr>
        <w:t>obiegowania</w:t>
      </w:r>
      <w:proofErr w:type="spellEnd"/>
      <w:r w:rsidRPr="003112D2">
        <w:rPr>
          <w:lang w:eastAsia="nb-NO"/>
        </w:rPr>
        <w:t xml:space="preserve"> kupowanych autobusów na wskazanych trasach, tak aby umożliwić weryfikację poprawności zakładanej pracy eksploatacyjnej (należ</w:t>
      </w:r>
      <w:r w:rsidR="00430F72" w:rsidRPr="003112D2">
        <w:rPr>
          <w:lang w:eastAsia="nb-NO"/>
        </w:rPr>
        <w:t>y również wskazać jak uwzględniono kwestię koniecznego ładowania/tankowania taboru)</w:t>
      </w:r>
      <w:r w:rsidRPr="003112D2">
        <w:rPr>
          <w:lang w:eastAsia="nb-NO"/>
        </w:rPr>
        <w:t>.</w:t>
      </w:r>
    </w:p>
    <w:p w14:paraId="75ED5EC2" w14:textId="77777777" w:rsidR="00300D31" w:rsidRPr="003112D2" w:rsidRDefault="00300D31" w:rsidP="00CB175B">
      <w:pPr>
        <w:jc w:val="both"/>
      </w:pPr>
    </w:p>
    <w:p w14:paraId="263B2F78" w14:textId="77777777" w:rsidR="007A5263" w:rsidRPr="003112D2" w:rsidRDefault="007A5263" w:rsidP="0083126D">
      <w:pPr>
        <w:ind w:left="284"/>
        <w:jc w:val="both"/>
      </w:pPr>
      <w:r w:rsidRPr="003112D2">
        <w:t xml:space="preserve">Na potrzeby analizy operacyjnej należy przeanalizować w formie tabelarycznej potencjalne czynniki ryzyka oraz wskazać narzędzia zapobiegania lub </w:t>
      </w:r>
      <w:proofErr w:type="spellStart"/>
      <w:r w:rsidRPr="003112D2">
        <w:t>mitygacji</w:t>
      </w:r>
      <w:proofErr w:type="spellEnd"/>
      <w:r w:rsidRPr="003112D2">
        <w:t>.</w:t>
      </w:r>
    </w:p>
    <w:p w14:paraId="4798CA3D" w14:textId="77777777" w:rsidR="007A5263" w:rsidRPr="003112D2" w:rsidRDefault="007A5263" w:rsidP="007A5263">
      <w:pPr>
        <w:numPr>
          <w:ilvl w:val="0"/>
          <w:numId w:val="48"/>
        </w:numPr>
        <w:jc w:val="both"/>
      </w:pPr>
      <w:r w:rsidRPr="003112D2">
        <w:t xml:space="preserve">Ryzyko niezawodności technicznej, np. ryzyko awarii pojazdów lub awarii systemu obsługi tych pojazdów, w tym systemu ładowania. Zrealizowanie się tego typu ryzyka przekłada się na niedotrzymanie rozkładów jazdy lub brak usług w jakimś okresie czasu. Permanentna zawodność komunikacji publicznej niesie z kolei ryzyko odejścia pasażerów od komunikacji publicznej. Do narzędzi zapobiegania lub </w:t>
      </w:r>
      <w:proofErr w:type="spellStart"/>
      <w:r w:rsidRPr="003112D2">
        <w:t>mitygacji</w:t>
      </w:r>
      <w:proofErr w:type="spellEnd"/>
      <w:r w:rsidRPr="003112D2">
        <w:t xml:space="preserve"> tego rodzaju czynników ryzyka należą: dodatkowe gwarancje producenta, istnienie procedur szybkiego reagowania na wypadek poszczególnych awarii, świadczenia komunikacji zastępczej, </w:t>
      </w:r>
      <w:r w:rsidR="00C34304" w:rsidRPr="003112D2">
        <w:t xml:space="preserve">bieżące </w:t>
      </w:r>
      <w:r w:rsidRPr="003112D2">
        <w:t>informowanie pasażerów (np. dynamiczna informacja pasażerska na przystankach</w:t>
      </w:r>
      <w:r w:rsidR="00A12A95" w:rsidRPr="003112D2">
        <w:t>, aplikacje na telefon, SMS</w:t>
      </w:r>
      <w:r w:rsidRPr="003112D2">
        <w:t xml:space="preserve">). </w:t>
      </w:r>
    </w:p>
    <w:p w14:paraId="4B93501D" w14:textId="77777777" w:rsidR="007A5263" w:rsidRPr="003112D2" w:rsidRDefault="007A5263" w:rsidP="007A5263">
      <w:pPr>
        <w:numPr>
          <w:ilvl w:val="0"/>
          <w:numId w:val="48"/>
        </w:numPr>
        <w:jc w:val="both"/>
      </w:pPr>
      <w:r w:rsidRPr="003112D2">
        <w:t>Ryzyko dostaw oraz wzrostu cen energii elektrycznej (dotyczy autobusów elektrycznych).</w:t>
      </w:r>
    </w:p>
    <w:p w14:paraId="6D754D16" w14:textId="77777777" w:rsidR="00E162B7" w:rsidRPr="003112D2" w:rsidRDefault="00E162B7" w:rsidP="00E162B7">
      <w:pPr>
        <w:numPr>
          <w:ilvl w:val="0"/>
          <w:numId w:val="48"/>
        </w:numPr>
        <w:jc w:val="both"/>
      </w:pPr>
      <w:r w:rsidRPr="003112D2">
        <w:t>Ryzyko dostaw oraz wzrostu cen paliwa wodorowego (dotyczy autobusów wodorowych).</w:t>
      </w:r>
    </w:p>
    <w:p w14:paraId="22163458" w14:textId="77777777" w:rsidR="00C34304" w:rsidRPr="003112D2" w:rsidRDefault="00C34304" w:rsidP="007A5263">
      <w:pPr>
        <w:numPr>
          <w:ilvl w:val="0"/>
          <w:numId w:val="48"/>
        </w:numPr>
        <w:jc w:val="both"/>
      </w:pPr>
      <w:r w:rsidRPr="003112D2">
        <w:t xml:space="preserve">Ryzyko popytowe, niskie zainteresowanie pasażerów pomimo wymiany pojazdów na linii i/lub utworzenia nowej linii. Do narzędzi zapobiegania lub </w:t>
      </w:r>
      <w:proofErr w:type="spellStart"/>
      <w:r w:rsidRPr="003112D2">
        <w:t>mitygacji</w:t>
      </w:r>
      <w:proofErr w:type="spellEnd"/>
      <w:r w:rsidRPr="003112D2">
        <w:t xml:space="preserve"> </w:t>
      </w:r>
      <w:r w:rsidR="00A12A95" w:rsidRPr="003112D2">
        <w:t xml:space="preserve">należą </w:t>
      </w:r>
      <w:r w:rsidRPr="003112D2">
        <w:t xml:space="preserve">m.in.: </w:t>
      </w:r>
      <w:r w:rsidR="005F4103" w:rsidRPr="003112D2">
        <w:t xml:space="preserve">promocja transportu zbiorowego i korzyści wynikających z rezygnacji z samochodu; </w:t>
      </w:r>
      <w:r w:rsidRPr="003112D2">
        <w:t xml:space="preserve">kampanie informujące pasażerów o możliwości skorzystania z </w:t>
      </w:r>
      <w:r w:rsidR="005F4103" w:rsidRPr="003112D2">
        <w:t>nowoczesnych, dostępnych pojazdów i/lub z nowej linii; dostosowanie rozkładów jazdy do oczekiwań pasażerów (np. integracja rozkładów jazdy różnych form transportu)</w:t>
      </w:r>
      <w:r w:rsidR="008940FB" w:rsidRPr="003112D2">
        <w:t>; atrakcyjna taryfa biletowa.</w:t>
      </w:r>
    </w:p>
    <w:p w14:paraId="48E2D6BB" w14:textId="6B14362C" w:rsidR="00523563" w:rsidRPr="003112D2" w:rsidRDefault="00523563" w:rsidP="007A5263">
      <w:pPr>
        <w:numPr>
          <w:ilvl w:val="0"/>
          <w:numId w:val="48"/>
        </w:numPr>
        <w:jc w:val="both"/>
      </w:pPr>
      <w:r w:rsidRPr="003112D2">
        <w:t xml:space="preserve">Ryzyka finansowe, takie jak: niedoszacowanie kosztów </w:t>
      </w:r>
      <w:r w:rsidR="0008612E" w:rsidRPr="003112D2">
        <w:t>przedsięwzięcia</w:t>
      </w:r>
      <w:r w:rsidRPr="003112D2">
        <w:t xml:space="preserve">, brak środków na finansowanie kosztów </w:t>
      </w:r>
      <w:r w:rsidR="0008612E" w:rsidRPr="003112D2">
        <w:t>przedsięwzięcia</w:t>
      </w:r>
      <w:r w:rsidRPr="003112D2">
        <w:t xml:space="preserve">, brak środków na finansowanie utrzymania </w:t>
      </w:r>
      <w:proofErr w:type="spellStart"/>
      <w:r w:rsidR="0008612E" w:rsidRPr="003112D2">
        <w:t>przedsięwzięcia</w:t>
      </w:r>
      <w:r w:rsidR="00D20276" w:rsidRPr="003112D2">
        <w:t>,</w:t>
      </w:r>
      <w:r w:rsidR="00D20276" w:rsidRPr="003112D2">
        <w:rPr>
          <w:lang w:eastAsia="nb-NO"/>
        </w:rPr>
        <w:t>ryzyko</w:t>
      </w:r>
      <w:proofErr w:type="spellEnd"/>
      <w:r w:rsidR="00D20276" w:rsidRPr="003112D2">
        <w:rPr>
          <w:lang w:eastAsia="nb-NO"/>
        </w:rPr>
        <w:t xml:space="preserve"> opóźnienia dostaw autobusów w kontekście konieczności rozliczenia wydatków kwalifikowanych do końca </w:t>
      </w:r>
      <w:r w:rsidR="00CB175B" w:rsidRPr="003112D2">
        <w:rPr>
          <w:lang w:eastAsia="nb-NO"/>
        </w:rPr>
        <w:t xml:space="preserve"> sierpnia</w:t>
      </w:r>
      <w:r w:rsidR="00D20276" w:rsidRPr="003112D2">
        <w:rPr>
          <w:lang w:eastAsia="nb-NO"/>
        </w:rPr>
        <w:t xml:space="preserve"> 2026 r.</w:t>
      </w:r>
    </w:p>
    <w:p w14:paraId="415497B4" w14:textId="329E8F72" w:rsidR="007A5263" w:rsidRPr="003112D2" w:rsidRDefault="007A5263" w:rsidP="00C34304">
      <w:pPr>
        <w:numPr>
          <w:ilvl w:val="0"/>
          <w:numId w:val="48"/>
        </w:numPr>
        <w:jc w:val="both"/>
      </w:pPr>
      <w:r w:rsidRPr="003112D2">
        <w:lastRenderedPageBreak/>
        <w:t>Inne ryzyka, które na etapie procesu planowania zidentyfikuje Wn</w:t>
      </w:r>
      <w:r w:rsidR="00C34304" w:rsidRPr="003112D2">
        <w:t>ioskodawca</w:t>
      </w:r>
      <w:r w:rsidR="00D20276" w:rsidRPr="003112D2">
        <w:t xml:space="preserve"> np. brak podpisania kolejnej umowy przewozowej przez operatora, trudności z wyborem operatora przez organizatora</w:t>
      </w:r>
      <w:r w:rsidR="00C34304" w:rsidRPr="003112D2">
        <w:t>.</w:t>
      </w:r>
    </w:p>
    <w:p w14:paraId="654CB113" w14:textId="77777777" w:rsidR="005F2E4C" w:rsidRPr="003112D2" w:rsidRDefault="005F2E4C" w:rsidP="002E4966">
      <w:pPr>
        <w:pStyle w:val="Akapitzlist"/>
        <w:numPr>
          <w:ilvl w:val="0"/>
          <w:numId w:val="52"/>
        </w:numPr>
        <w:ind w:left="714" w:hanging="357"/>
        <w:contextualSpacing w:val="0"/>
        <w:jc w:val="both"/>
        <w:rPr>
          <w:rStyle w:val="Nagwek3Znak"/>
          <w:color w:val="auto"/>
        </w:rPr>
      </w:pPr>
      <w:bookmarkStart w:id="13" w:name="_Toc136952674"/>
      <w:r w:rsidRPr="003112D2">
        <w:rPr>
          <w:rStyle w:val="Nagwek3Znak"/>
          <w:color w:val="auto"/>
        </w:rPr>
        <w:t>Jakościowa analiza ekonomiczna wraz z analizą parametrów emisyjności</w:t>
      </w:r>
      <w:bookmarkEnd w:id="13"/>
    </w:p>
    <w:p w14:paraId="4A321A31" w14:textId="1BC5EA5E" w:rsidR="005F2E4C" w:rsidRPr="003112D2" w:rsidRDefault="00D2340B" w:rsidP="00D2340B">
      <w:pPr>
        <w:pStyle w:val="Akapitzlist"/>
        <w:ind w:left="284"/>
        <w:jc w:val="both"/>
      </w:pPr>
      <w:r w:rsidRPr="003112D2">
        <w:t xml:space="preserve">W ramach jakościowej analizy ekonomicznej należy opisać korzyści z realizacji </w:t>
      </w:r>
      <w:r w:rsidR="0008612E" w:rsidRPr="003112D2">
        <w:t>przedsięwzięcia</w:t>
      </w:r>
      <w:r w:rsidRPr="003112D2">
        <w:t>, zarówno dla Wnioskodawcy, dla poszczególnych grup odbiorców (mieszkańców), jak i dla ochrony powietrza. Korzyści te powinny być rozpatrywane zarówno w krótkiej perspektywie (natychmiastowe efekty, np. ograniczenie wykluczenia komunikacyjnego, dostępność transportu dla osób z niepełnosprawnościami, podniesienie</w:t>
      </w:r>
      <w:r w:rsidR="00355171" w:rsidRPr="003112D2">
        <w:t xml:space="preserve"> </w:t>
      </w:r>
      <w:r w:rsidRPr="003112D2">
        <w:t>jakości podróży dzięki nowemu taborowi</w:t>
      </w:r>
      <w:r w:rsidR="00767C8C" w:rsidRPr="003112D2">
        <w:t>, ograniczenie emisji niskich w regionie</w:t>
      </w:r>
      <w:r w:rsidRPr="003112D2">
        <w:t xml:space="preserve">), jak i w perspektywie długoterminowej (np. </w:t>
      </w:r>
      <w:r w:rsidR="00767C8C" w:rsidRPr="003112D2">
        <w:t>zwiększenie atrakcyjności regionu, poprawa jakości życia mieszkańców, zmniejszenie liczby wypadków dzięki przeniesieniu części pasażerów z samochodów osobowych do autobusów).</w:t>
      </w:r>
    </w:p>
    <w:p w14:paraId="12BCC855" w14:textId="412CE2CB" w:rsidR="00D20276" w:rsidRPr="003112D2" w:rsidRDefault="00D20276" w:rsidP="00D2340B">
      <w:pPr>
        <w:pStyle w:val="Akapitzlist"/>
        <w:ind w:left="284"/>
        <w:jc w:val="both"/>
      </w:pPr>
    </w:p>
    <w:p w14:paraId="72055F0F" w14:textId="39EDDE13" w:rsidR="00D20276" w:rsidRPr="003112D2" w:rsidRDefault="00D20276" w:rsidP="00D2340B">
      <w:pPr>
        <w:pStyle w:val="Akapitzlist"/>
        <w:ind w:left="284"/>
        <w:jc w:val="both"/>
      </w:pPr>
      <w:r w:rsidRPr="003112D2">
        <w:t>Należy opisać wszystkie założenia przyjęte na potrzeby wyliczenia wskaźnika redukcji emisji.</w:t>
      </w:r>
    </w:p>
    <w:p w14:paraId="7F23A00A" w14:textId="77777777" w:rsidR="00D2340B" w:rsidRPr="003112D2" w:rsidRDefault="00D2340B" w:rsidP="00D2340B">
      <w:pPr>
        <w:pStyle w:val="Akapitzlist"/>
        <w:ind w:left="284"/>
        <w:jc w:val="both"/>
      </w:pPr>
    </w:p>
    <w:p w14:paraId="14BFA276" w14:textId="77777777" w:rsidR="00D2340B" w:rsidRPr="003112D2" w:rsidRDefault="00D2340B" w:rsidP="00D2340B">
      <w:pPr>
        <w:pStyle w:val="Akapitzlist"/>
        <w:ind w:left="284"/>
        <w:jc w:val="both"/>
      </w:pPr>
      <w:r w:rsidRPr="003112D2">
        <w:t>Następnie na podstawie danych z kalkulatora emisji (por. pkt 2. Kryterium „Zmniejszenie emisji w niższych warstwach atmosfery oraz CO</w:t>
      </w:r>
      <w:r w:rsidRPr="003112D2">
        <w:rPr>
          <w:vertAlign w:val="subscript"/>
        </w:rPr>
        <w:t xml:space="preserve">2 </w:t>
      </w:r>
      <w:r w:rsidRPr="003112D2">
        <w:t xml:space="preserve">w wyniku realizacji </w:t>
      </w:r>
      <w:r w:rsidR="0008612E" w:rsidRPr="003112D2">
        <w:t>przedsięwzięcia</w:t>
      </w:r>
      <w:r w:rsidRPr="003112D2">
        <w:t>”) należy w</w:t>
      </w:r>
      <w:r w:rsidR="001A0FBE" w:rsidRPr="003112D2">
        <w:t>skazać wartość wskaźnika redukcji emisji oraz podać nazwę załącznika, który zawiera ww. kalkulator.</w:t>
      </w:r>
    </w:p>
    <w:p w14:paraId="16C8420A" w14:textId="77777777" w:rsidR="00E162B7" w:rsidRPr="003112D2" w:rsidRDefault="00E162B7" w:rsidP="00D2340B">
      <w:pPr>
        <w:pStyle w:val="Akapitzlist"/>
        <w:ind w:left="284"/>
        <w:jc w:val="both"/>
      </w:pPr>
    </w:p>
    <w:p w14:paraId="1B9A43D0" w14:textId="79C6F35C" w:rsidR="00E162B7" w:rsidRPr="003112D2" w:rsidRDefault="00E162B7" w:rsidP="00E162B7">
      <w:pPr>
        <w:pStyle w:val="Akapitzlist"/>
        <w:ind w:left="284"/>
        <w:contextualSpacing w:val="0"/>
        <w:jc w:val="both"/>
      </w:pPr>
      <w:r w:rsidRPr="003112D2">
        <w:t>W przypadku autobusów wodorowych należy wskazać źródło wodoru</w:t>
      </w:r>
      <w:r w:rsidR="009F53C3" w:rsidRPr="003112D2">
        <w:t xml:space="preserve"> zgodne z technologią jego wytwarzania</w:t>
      </w:r>
      <w:r w:rsidRPr="003112D2">
        <w:t xml:space="preserve"> oraz jego emisyjność, która może być zróżnicowana. Z tego powodu Wnioskodawca powinien we własnym zakresie odpowiednio zmodyfikować kalkulator emisji, tak aby wyliczyć wskaźnik.</w:t>
      </w:r>
    </w:p>
    <w:p w14:paraId="38D4EA96" w14:textId="77777777" w:rsidR="005F2E4C" w:rsidRPr="003112D2" w:rsidRDefault="005F2E4C" w:rsidP="005F2E4C">
      <w:pPr>
        <w:pStyle w:val="Akapitzlist"/>
        <w:numPr>
          <w:ilvl w:val="0"/>
          <w:numId w:val="52"/>
        </w:numPr>
        <w:jc w:val="both"/>
        <w:rPr>
          <w:rStyle w:val="Nagwek3Znak"/>
          <w:color w:val="auto"/>
        </w:rPr>
      </w:pPr>
      <w:bookmarkStart w:id="14" w:name="_Toc136952675"/>
      <w:r w:rsidRPr="003112D2">
        <w:rPr>
          <w:rStyle w:val="Nagwek3Znak"/>
          <w:color w:val="auto"/>
        </w:rPr>
        <w:t>Udowodnienie trwałości finansowej i instytucjonalnej</w:t>
      </w:r>
      <w:bookmarkEnd w:id="14"/>
    </w:p>
    <w:p w14:paraId="5B384F5D" w14:textId="77777777" w:rsidR="00063D75" w:rsidRPr="003112D2" w:rsidRDefault="00063D75" w:rsidP="00063D75">
      <w:pPr>
        <w:pStyle w:val="Akapitzlist"/>
        <w:rPr>
          <w:rStyle w:val="Nagwek3Znak"/>
          <w:color w:val="auto"/>
        </w:rPr>
      </w:pPr>
    </w:p>
    <w:p w14:paraId="1A497895" w14:textId="14B23A97" w:rsidR="001A020F" w:rsidRPr="003112D2" w:rsidRDefault="00063D75" w:rsidP="001A020F">
      <w:pPr>
        <w:pStyle w:val="Akapitzlist"/>
        <w:ind w:left="284"/>
        <w:jc w:val="both"/>
        <w:rPr>
          <w:bCs/>
        </w:rPr>
      </w:pPr>
      <w:r w:rsidRPr="003112D2">
        <w:rPr>
          <w:bCs/>
        </w:rPr>
        <w:t>W tym punkcie</w:t>
      </w:r>
      <w:r w:rsidR="00853028" w:rsidRPr="003112D2">
        <w:rPr>
          <w:bCs/>
        </w:rPr>
        <w:t xml:space="preserve"> USW</w:t>
      </w:r>
      <w:r w:rsidRPr="003112D2">
        <w:rPr>
          <w:bCs/>
        </w:rPr>
        <w:t xml:space="preserve"> należy </w:t>
      </w:r>
      <w:r w:rsidR="00412F47" w:rsidRPr="003112D2">
        <w:rPr>
          <w:bCs/>
        </w:rPr>
        <w:t xml:space="preserve">krótko </w:t>
      </w:r>
      <w:r w:rsidRPr="003112D2">
        <w:rPr>
          <w:bCs/>
        </w:rPr>
        <w:t>opisać</w:t>
      </w:r>
      <w:r w:rsidR="008D669C" w:rsidRPr="003112D2">
        <w:rPr>
          <w:bCs/>
        </w:rPr>
        <w:t>,</w:t>
      </w:r>
      <w:r w:rsidR="00412F47" w:rsidRPr="003112D2">
        <w:rPr>
          <w:bCs/>
        </w:rPr>
        <w:t xml:space="preserve"> jaka jest sytuacja prawna i finansowa Wnioskodawcy. </w:t>
      </w:r>
      <w:r w:rsidR="001A020F" w:rsidRPr="003112D2">
        <w:rPr>
          <w:bCs/>
        </w:rPr>
        <w:t xml:space="preserve"> </w:t>
      </w:r>
      <w:r w:rsidR="00412F47" w:rsidRPr="003112D2">
        <w:rPr>
          <w:bCs/>
        </w:rPr>
        <w:t xml:space="preserve">W kolejnym kroku opisać </w:t>
      </w:r>
      <w:r w:rsidR="001A020F" w:rsidRPr="003112D2">
        <w:rPr>
          <w:bCs/>
        </w:rPr>
        <w:t>organizację transportu zbiorowego na analizowanym obszarze</w:t>
      </w:r>
      <w:r w:rsidR="003A70E4" w:rsidRPr="003112D2">
        <w:rPr>
          <w:bCs/>
        </w:rPr>
        <w:t>.</w:t>
      </w:r>
      <w:r w:rsidR="001A020F" w:rsidRPr="003112D2">
        <w:rPr>
          <w:bCs/>
        </w:rPr>
        <w:t xml:space="preserve"> </w:t>
      </w:r>
      <w:r w:rsidR="003A70E4" w:rsidRPr="003112D2">
        <w:rPr>
          <w:bCs/>
        </w:rPr>
        <w:t xml:space="preserve">Czy, na </w:t>
      </w:r>
      <w:r w:rsidR="001A020F" w:rsidRPr="003112D2">
        <w:rPr>
          <w:bCs/>
        </w:rPr>
        <w:t xml:space="preserve">jakich zasadach i komu </w:t>
      </w:r>
      <w:r w:rsidR="00755D69" w:rsidRPr="003112D2">
        <w:rPr>
          <w:bCs/>
        </w:rPr>
        <w:t>o</w:t>
      </w:r>
      <w:r w:rsidR="00905926" w:rsidRPr="003112D2">
        <w:rPr>
          <w:bCs/>
        </w:rPr>
        <w:t>rganizator użycza tabor</w:t>
      </w:r>
      <w:r w:rsidR="003A70E4" w:rsidRPr="003112D2">
        <w:rPr>
          <w:bCs/>
        </w:rPr>
        <w:t>.</w:t>
      </w:r>
      <w:r w:rsidR="001A020F" w:rsidRPr="003112D2">
        <w:rPr>
          <w:bCs/>
        </w:rPr>
        <w:t xml:space="preserve"> </w:t>
      </w:r>
      <w:r w:rsidR="003A70E4" w:rsidRPr="003112D2">
        <w:rPr>
          <w:bCs/>
        </w:rPr>
        <w:t>C</w:t>
      </w:r>
      <w:r w:rsidR="001A020F" w:rsidRPr="003112D2">
        <w:rPr>
          <w:bCs/>
        </w:rPr>
        <w:t xml:space="preserve">zy </w:t>
      </w:r>
      <w:r w:rsidR="003A70E4" w:rsidRPr="003112D2">
        <w:rPr>
          <w:bCs/>
        </w:rPr>
        <w:t>operator</w:t>
      </w:r>
      <w:r w:rsidR="009A527E" w:rsidRPr="003112D2">
        <w:rPr>
          <w:bCs/>
        </w:rPr>
        <w:t>em</w:t>
      </w:r>
      <w:r w:rsidR="003A70E4" w:rsidRPr="003112D2">
        <w:rPr>
          <w:bCs/>
        </w:rPr>
        <w:t xml:space="preserve"> </w:t>
      </w:r>
      <w:r w:rsidR="001A020F" w:rsidRPr="003112D2">
        <w:rPr>
          <w:bCs/>
        </w:rPr>
        <w:t xml:space="preserve">jest spółka wyłoniona w przetargu, </w:t>
      </w:r>
      <w:r w:rsidR="003C34B5" w:rsidRPr="003112D2">
        <w:rPr>
          <w:bCs/>
        </w:rPr>
        <w:t>własny operator (Sa</w:t>
      </w:r>
      <w:r w:rsidR="00905926" w:rsidRPr="003112D2">
        <w:rPr>
          <w:bCs/>
        </w:rPr>
        <w:t>morządowy Zakład Budżetowy) lub inny</w:t>
      </w:r>
      <w:r w:rsidR="003C34B5" w:rsidRPr="003112D2">
        <w:rPr>
          <w:bCs/>
        </w:rPr>
        <w:t xml:space="preserve">. </w:t>
      </w:r>
      <w:r w:rsidR="00D2340B" w:rsidRPr="003112D2">
        <w:rPr>
          <w:bCs/>
        </w:rPr>
        <w:t>Ponadto</w:t>
      </w:r>
      <w:r w:rsidR="00905926" w:rsidRPr="003112D2">
        <w:rPr>
          <w:bCs/>
        </w:rPr>
        <w:t>:</w:t>
      </w:r>
      <w:r w:rsidR="00D2340B" w:rsidRPr="003112D2">
        <w:rPr>
          <w:bCs/>
        </w:rPr>
        <w:t xml:space="preserve"> </w:t>
      </w:r>
      <w:r w:rsidR="003C34B5" w:rsidRPr="003112D2">
        <w:rPr>
          <w:bCs/>
        </w:rPr>
        <w:t xml:space="preserve">kto odpowiada za zatrudnienie kierowców, ubezpieczenie, </w:t>
      </w:r>
      <w:r w:rsidR="00905926" w:rsidRPr="003112D2">
        <w:rPr>
          <w:bCs/>
        </w:rPr>
        <w:t xml:space="preserve">serwisowanie pojazdów, </w:t>
      </w:r>
      <w:r w:rsidR="003C34B5" w:rsidRPr="003112D2">
        <w:rPr>
          <w:bCs/>
        </w:rPr>
        <w:t>infrastrukturę ładowania/tankowania i in.</w:t>
      </w:r>
      <w:r w:rsidR="00D2340B" w:rsidRPr="003112D2">
        <w:rPr>
          <w:bCs/>
        </w:rPr>
        <w:t xml:space="preserve"> </w:t>
      </w:r>
      <w:r w:rsidR="00905926" w:rsidRPr="003112D2">
        <w:rPr>
          <w:bCs/>
        </w:rPr>
        <w:t>Krótko opisać w</w:t>
      </w:r>
      <w:r w:rsidR="00D2340B" w:rsidRPr="003112D2">
        <w:rPr>
          <w:bCs/>
        </w:rPr>
        <w:t xml:space="preserve"> jaki sposób dokonuje się rozliczenia</w:t>
      </w:r>
      <w:r w:rsidR="007B1AFA" w:rsidRPr="003112D2">
        <w:rPr>
          <w:bCs/>
        </w:rPr>
        <w:t>.</w:t>
      </w:r>
    </w:p>
    <w:p w14:paraId="6416E7BB" w14:textId="77777777" w:rsidR="00AB7276" w:rsidRPr="003112D2" w:rsidRDefault="00AB7276" w:rsidP="001A020F">
      <w:pPr>
        <w:pStyle w:val="Akapitzlist"/>
        <w:ind w:left="284"/>
        <w:jc w:val="both"/>
        <w:rPr>
          <w:bCs/>
        </w:rPr>
      </w:pPr>
    </w:p>
    <w:p w14:paraId="147E655C" w14:textId="0A354F32" w:rsidR="00AB7276" w:rsidRPr="003112D2" w:rsidRDefault="00AB7276" w:rsidP="001A020F">
      <w:pPr>
        <w:pStyle w:val="Akapitzlist"/>
        <w:ind w:left="284"/>
        <w:jc w:val="both"/>
        <w:rPr>
          <w:bCs/>
        </w:rPr>
      </w:pPr>
      <w:r w:rsidRPr="003112D2">
        <w:rPr>
          <w:lang w:eastAsia="nb-NO"/>
        </w:rPr>
        <w:t>W przypadku gdy wniosek składa operator, należy wskazać, co stanie się z zakupionymi autobusami, jeżeli w okresie dla którego liczony jest wskaźnik redukcji emisji, operator nie pozyska kolejnej umowy na świadczenie usług transportu publicznego na wskazanych trasach.</w:t>
      </w:r>
    </w:p>
    <w:p w14:paraId="0FA39EC9" w14:textId="77777777" w:rsidR="003C34B5" w:rsidRPr="003112D2" w:rsidRDefault="003C34B5" w:rsidP="001A020F">
      <w:pPr>
        <w:pStyle w:val="Akapitzlist"/>
        <w:ind w:left="284"/>
        <w:jc w:val="both"/>
        <w:rPr>
          <w:bCs/>
        </w:rPr>
      </w:pPr>
    </w:p>
    <w:p w14:paraId="130F3068" w14:textId="3C8E55EB" w:rsidR="00063D75" w:rsidRPr="003112D2" w:rsidRDefault="001A020F" w:rsidP="001A020F">
      <w:pPr>
        <w:pStyle w:val="Akapitzlist"/>
        <w:ind w:left="284"/>
        <w:jc w:val="both"/>
        <w:rPr>
          <w:lang w:eastAsia="nb-NO"/>
        </w:rPr>
      </w:pPr>
      <w:r w:rsidRPr="003112D2">
        <w:rPr>
          <w:bCs/>
        </w:rPr>
        <w:t>W dalszej części należy</w:t>
      </w:r>
      <w:r w:rsidR="00063D75" w:rsidRPr="003112D2">
        <w:rPr>
          <w:bCs/>
        </w:rPr>
        <w:t xml:space="preserve"> </w:t>
      </w:r>
      <w:r w:rsidR="003C34B5" w:rsidRPr="003112D2">
        <w:rPr>
          <w:bCs/>
        </w:rPr>
        <w:t xml:space="preserve">opisać </w:t>
      </w:r>
      <w:r w:rsidR="00063D75" w:rsidRPr="003112D2">
        <w:rPr>
          <w:bCs/>
        </w:rPr>
        <w:t xml:space="preserve">montaż finansowy </w:t>
      </w:r>
      <w:r w:rsidR="0008612E" w:rsidRPr="003112D2">
        <w:rPr>
          <w:bCs/>
        </w:rPr>
        <w:t>przedsięwzięcia</w:t>
      </w:r>
      <w:r w:rsidR="00063D75" w:rsidRPr="003112D2">
        <w:rPr>
          <w:bCs/>
        </w:rPr>
        <w:t xml:space="preserve"> na etap realizacji oraz etap operacyjny, wraz z wyszczególnieniem kwoty </w:t>
      </w:r>
      <w:r w:rsidR="00C31BED" w:rsidRPr="003112D2">
        <w:rPr>
          <w:bCs/>
        </w:rPr>
        <w:t xml:space="preserve">wsparcia </w:t>
      </w:r>
      <w:r w:rsidR="0069403B" w:rsidRPr="003112D2">
        <w:rPr>
          <w:bCs/>
        </w:rPr>
        <w:t xml:space="preserve">z </w:t>
      </w:r>
      <w:r w:rsidR="00063D75" w:rsidRPr="003112D2">
        <w:rPr>
          <w:bCs/>
        </w:rPr>
        <w:t>KPO oraz kwoty wkładu własnego</w:t>
      </w:r>
      <w:r w:rsidR="0069403B" w:rsidRPr="003112D2">
        <w:rPr>
          <w:bCs/>
        </w:rPr>
        <w:t>,</w:t>
      </w:r>
      <w:r w:rsidR="003C34B5" w:rsidRPr="003112D2">
        <w:rPr>
          <w:bCs/>
        </w:rPr>
        <w:t xml:space="preserve"> wraz z kosztami niekwalifikowa</w:t>
      </w:r>
      <w:r w:rsidR="0069403B" w:rsidRPr="003112D2">
        <w:rPr>
          <w:bCs/>
        </w:rPr>
        <w:t>l</w:t>
      </w:r>
      <w:r w:rsidR="003C34B5" w:rsidRPr="003112D2">
        <w:rPr>
          <w:bCs/>
        </w:rPr>
        <w:t>nymi</w:t>
      </w:r>
      <w:r w:rsidR="00063D75" w:rsidRPr="003112D2">
        <w:rPr>
          <w:bCs/>
        </w:rPr>
        <w:t xml:space="preserve">. Jeśli poza </w:t>
      </w:r>
      <w:r w:rsidR="00C31BED" w:rsidRPr="003112D2">
        <w:rPr>
          <w:bCs/>
        </w:rPr>
        <w:t xml:space="preserve">wsparciem </w:t>
      </w:r>
      <w:r w:rsidR="0069403B" w:rsidRPr="003112D2">
        <w:rPr>
          <w:bCs/>
        </w:rPr>
        <w:t xml:space="preserve">z </w:t>
      </w:r>
      <w:r w:rsidR="00063D75" w:rsidRPr="003112D2">
        <w:rPr>
          <w:bCs/>
        </w:rPr>
        <w:t xml:space="preserve">KPO </w:t>
      </w:r>
      <w:r w:rsidR="0008612E" w:rsidRPr="003112D2">
        <w:rPr>
          <w:bCs/>
        </w:rPr>
        <w:t>przedsięwzięcie</w:t>
      </w:r>
      <w:r w:rsidR="00063D75" w:rsidRPr="003112D2">
        <w:rPr>
          <w:bCs/>
        </w:rPr>
        <w:t xml:space="preserve"> otrzyma dofinansowanie z innego programu, również należy to opisać. Źródła finansowania wkładu własnego powinny zostać opisane i udowodnione. </w:t>
      </w:r>
      <w:r w:rsidR="00601B9F" w:rsidRPr="003112D2">
        <w:rPr>
          <w:bCs/>
        </w:rPr>
        <w:t>Należy udowodnić</w:t>
      </w:r>
      <w:r w:rsidR="00AA0C5B" w:rsidRPr="003112D2">
        <w:rPr>
          <w:bCs/>
        </w:rPr>
        <w:t xml:space="preserve"> w USW</w:t>
      </w:r>
      <w:r w:rsidR="0069403B" w:rsidRPr="003112D2">
        <w:rPr>
          <w:bCs/>
        </w:rPr>
        <w:t>,</w:t>
      </w:r>
      <w:r w:rsidR="00601B9F" w:rsidRPr="003112D2">
        <w:rPr>
          <w:bCs/>
        </w:rPr>
        <w:t xml:space="preserve"> </w:t>
      </w:r>
      <w:r w:rsidR="00300D31" w:rsidRPr="003112D2">
        <w:rPr>
          <w:lang w:eastAsia="nb-NO"/>
        </w:rPr>
        <w:t xml:space="preserve">zapewnienie środków nie tylko na wkład własny przedsięwzięcia, wydatki niekwalifikowalne, ale również na </w:t>
      </w:r>
      <w:r w:rsidR="00300D31" w:rsidRPr="003112D2">
        <w:rPr>
          <w:u w:val="single"/>
          <w:lang w:eastAsia="nb-NO"/>
        </w:rPr>
        <w:t>utrzymanie przedsięwzięcia w całym 15-letnim okresie analizy</w:t>
      </w:r>
      <w:r w:rsidR="00300D31" w:rsidRPr="003112D2">
        <w:rPr>
          <w:lang w:eastAsia="nb-NO"/>
        </w:rPr>
        <w:t xml:space="preserve"> </w:t>
      </w:r>
      <w:r w:rsidR="00601B9F" w:rsidRPr="003112D2">
        <w:rPr>
          <w:bCs/>
        </w:rPr>
        <w:t xml:space="preserve"> (tj. okresie wyliczenia wskaźnika redukcji emisji).</w:t>
      </w:r>
      <w:r w:rsidR="00AA0C5B" w:rsidRPr="003112D2">
        <w:rPr>
          <w:bCs/>
        </w:rPr>
        <w:t xml:space="preserve"> Należy wskazać</w:t>
      </w:r>
      <w:r w:rsidR="0069403B" w:rsidRPr="003112D2">
        <w:rPr>
          <w:bCs/>
        </w:rPr>
        <w:t>,</w:t>
      </w:r>
      <w:r w:rsidR="00AA0C5B" w:rsidRPr="003112D2">
        <w:rPr>
          <w:bCs/>
        </w:rPr>
        <w:t xml:space="preserve"> w jakiej pozycji WPF zabezpieczono środki na funkcjonowanie transportu publicznego.</w:t>
      </w:r>
      <w:r w:rsidR="00300D31" w:rsidRPr="003112D2">
        <w:rPr>
          <w:lang w:eastAsia="nb-NO"/>
        </w:rPr>
        <w:t xml:space="preserve"> </w:t>
      </w:r>
    </w:p>
    <w:p w14:paraId="6E8E1039" w14:textId="77777777" w:rsidR="00300D31" w:rsidRPr="003112D2" w:rsidRDefault="00300D31" w:rsidP="001A020F">
      <w:pPr>
        <w:pStyle w:val="Akapitzlist"/>
        <w:ind w:left="284"/>
        <w:jc w:val="both"/>
        <w:rPr>
          <w:bCs/>
        </w:rPr>
      </w:pPr>
    </w:p>
    <w:p w14:paraId="03EF0E01" w14:textId="2BDFBC01" w:rsidR="00300D31" w:rsidRPr="003112D2" w:rsidRDefault="00300D31" w:rsidP="001A020F">
      <w:pPr>
        <w:pStyle w:val="Akapitzlist"/>
        <w:ind w:left="284"/>
        <w:jc w:val="both"/>
        <w:rPr>
          <w:bCs/>
        </w:rPr>
      </w:pPr>
      <w:r w:rsidRPr="003112D2">
        <w:rPr>
          <w:lang w:eastAsia="nb-NO"/>
        </w:rPr>
        <w:t>Jeśli środki na eksploatację zabezpieczono w  pozycji WPF o nazwie „Wydatki bieżące”, w treści USW należy wprost wskazać, czy obejmuje ona wynagrodzenie przewoźnika zgodnie z umową przewozową i planowaną pracą eksploatacyjną po realizacji projektu (w tym pokrycie zmian kosztów utrzymania taboru przez przewoźnika, jeżeli występuje).</w:t>
      </w:r>
    </w:p>
    <w:p w14:paraId="48C0BFC7" w14:textId="77777777" w:rsidR="0090450B" w:rsidRPr="003112D2" w:rsidRDefault="0090450B" w:rsidP="001A020F">
      <w:pPr>
        <w:pStyle w:val="Akapitzlist"/>
        <w:ind w:left="284"/>
        <w:jc w:val="both"/>
        <w:rPr>
          <w:bCs/>
        </w:rPr>
      </w:pPr>
    </w:p>
    <w:p w14:paraId="2589FF66" w14:textId="77777777" w:rsidR="007F53AB" w:rsidRPr="003112D2" w:rsidRDefault="00CE6A3E" w:rsidP="002E6D8B">
      <w:pPr>
        <w:pStyle w:val="Nagwek2"/>
        <w:numPr>
          <w:ilvl w:val="0"/>
          <w:numId w:val="51"/>
        </w:numPr>
        <w:rPr>
          <w:color w:val="auto"/>
        </w:rPr>
      </w:pPr>
      <w:bookmarkStart w:id="15" w:name="_Toc506550404"/>
      <w:bookmarkStart w:id="16" w:name="_Toc506550468"/>
      <w:bookmarkStart w:id="17" w:name="_Toc506550515"/>
      <w:bookmarkStart w:id="18" w:name="_Toc506550837"/>
      <w:bookmarkStart w:id="19" w:name="_Toc506551115"/>
      <w:bookmarkStart w:id="20" w:name="_Toc136952676"/>
      <w:bookmarkEnd w:id="15"/>
      <w:bookmarkEnd w:id="16"/>
      <w:bookmarkEnd w:id="17"/>
      <w:bookmarkEnd w:id="18"/>
      <w:bookmarkEnd w:id="19"/>
      <w:r w:rsidRPr="003112D2">
        <w:rPr>
          <w:color w:val="auto"/>
        </w:rPr>
        <w:t>Kryterium „Zmniejszenie emisji w niższych warstwach atmosfery oraz CO</w:t>
      </w:r>
      <w:r w:rsidRPr="003112D2">
        <w:rPr>
          <w:color w:val="auto"/>
          <w:vertAlign w:val="subscript"/>
        </w:rPr>
        <w:t xml:space="preserve">2 </w:t>
      </w:r>
      <w:r w:rsidRPr="003112D2">
        <w:rPr>
          <w:color w:val="auto"/>
        </w:rPr>
        <w:t xml:space="preserve">w wyniku realizacji </w:t>
      </w:r>
      <w:r w:rsidR="0008612E" w:rsidRPr="003112D2">
        <w:rPr>
          <w:color w:val="auto"/>
        </w:rPr>
        <w:t>przedsięwzięcia</w:t>
      </w:r>
      <w:r w:rsidRPr="003112D2">
        <w:rPr>
          <w:color w:val="auto"/>
        </w:rPr>
        <w:t>”</w:t>
      </w:r>
      <w:r w:rsidR="00DD1402" w:rsidRPr="003112D2">
        <w:rPr>
          <w:color w:val="auto"/>
        </w:rPr>
        <w:t xml:space="preserve"> (punktowane)</w:t>
      </w:r>
      <w:bookmarkEnd w:id="20"/>
    </w:p>
    <w:p w14:paraId="3A17B82F" w14:textId="77777777" w:rsidR="003141C3" w:rsidRPr="003112D2" w:rsidRDefault="003141C3" w:rsidP="002E6D8B">
      <w:pPr>
        <w:jc w:val="both"/>
      </w:pPr>
    </w:p>
    <w:p w14:paraId="3B01AB88" w14:textId="77777777" w:rsidR="008F2FC8" w:rsidRPr="003112D2" w:rsidRDefault="005864FB" w:rsidP="001D0F31">
      <w:pPr>
        <w:pStyle w:val="Akapitzlist"/>
        <w:numPr>
          <w:ilvl w:val="0"/>
          <w:numId w:val="57"/>
        </w:numPr>
        <w:jc w:val="both"/>
        <w:rPr>
          <w:rStyle w:val="Nagwek3Znak"/>
          <w:color w:val="auto"/>
        </w:rPr>
      </w:pPr>
      <w:bookmarkStart w:id="21" w:name="_Toc136952677"/>
      <w:r w:rsidRPr="003112D2">
        <w:rPr>
          <w:rStyle w:val="Nagwek3Znak"/>
          <w:color w:val="auto"/>
        </w:rPr>
        <w:t>Szablon kalkulatora</w:t>
      </w:r>
      <w:r w:rsidR="001D0F31" w:rsidRPr="003112D2">
        <w:rPr>
          <w:rStyle w:val="Nagwek3Znak"/>
          <w:color w:val="auto"/>
        </w:rPr>
        <w:t xml:space="preserve"> wskaźnika redukcji emisji na potrzeby kryterium</w:t>
      </w:r>
      <w:bookmarkEnd w:id="21"/>
    </w:p>
    <w:p w14:paraId="4A1E4CAF" w14:textId="0FAD42C7" w:rsidR="00722E4B" w:rsidRPr="003112D2" w:rsidRDefault="001D0F31" w:rsidP="001D0F31">
      <w:pPr>
        <w:ind w:left="360"/>
        <w:jc w:val="both"/>
      </w:pPr>
      <w:r w:rsidRPr="003112D2">
        <w:t xml:space="preserve">Instytucja </w:t>
      </w:r>
      <w:r w:rsidR="00E53520" w:rsidRPr="003112D2">
        <w:t>o</w:t>
      </w:r>
      <w:r w:rsidRPr="003112D2">
        <w:t xml:space="preserve">rganizująca </w:t>
      </w:r>
      <w:r w:rsidR="00E53520" w:rsidRPr="003112D2">
        <w:t>k</w:t>
      </w:r>
      <w:r w:rsidRPr="003112D2">
        <w:t>onkurs przygotowała szablon arkusza kalkulacyjnego do wyliczenia wskaźnika redukcji emisji, wymaganego do oceny kryterium merytorycznego „Zmniejszenie emisji w niższych warstwach atmosfery oraz CO</w:t>
      </w:r>
      <w:r w:rsidRPr="003112D2">
        <w:rPr>
          <w:vertAlign w:val="subscript"/>
        </w:rPr>
        <w:t xml:space="preserve">2 </w:t>
      </w:r>
      <w:r w:rsidRPr="003112D2">
        <w:t xml:space="preserve">w wyniku realizacji </w:t>
      </w:r>
      <w:r w:rsidR="0008612E" w:rsidRPr="003112D2">
        <w:t>przedsięwzięcia</w:t>
      </w:r>
      <w:r w:rsidRPr="003112D2">
        <w:t>”</w:t>
      </w:r>
      <w:r w:rsidR="00E162B7" w:rsidRPr="003112D2">
        <w:t xml:space="preserve"> (dalej: szablon, kalkulator)</w:t>
      </w:r>
      <w:r w:rsidRPr="003112D2">
        <w:t>.</w:t>
      </w:r>
      <w:r w:rsidR="00430F72" w:rsidRPr="003112D2">
        <w:t xml:space="preserve"> Zwracamy uwagę, że pomimo możliwości wyboru w arkuszu w wariancie inwestycyjnym napędu niskoemisyjnego, taki napęd nie jest dozwolony w niniejszym Konkursie. </w:t>
      </w:r>
      <w:r w:rsidRPr="003112D2">
        <w:t xml:space="preserve"> Zakładki zaznaczone na żółto zawierają żółte pola, w których należy wprowadzić odpowiednie założenia przyjęte w p</w:t>
      </w:r>
      <w:r w:rsidR="000E65F7" w:rsidRPr="003112D2">
        <w:t>rzedsięwzięciu</w:t>
      </w:r>
      <w:r w:rsidRPr="003112D2">
        <w:t>. Wartości podane w szablonie w polach zaznaczonych na żółto są w pełni abstrakcyjne, wstawione jedynie</w:t>
      </w:r>
      <w:r w:rsidR="00355171" w:rsidRPr="003112D2">
        <w:t>,</w:t>
      </w:r>
      <w:r w:rsidRPr="003112D2">
        <w:t xml:space="preserve"> aby arkusz ulegał przeliczeniu i prezentował sposób kalkulacji. Wszystkie pola zaznaczone na żółto należy zastąpić założeniami właściwymi dla danego pr</w:t>
      </w:r>
      <w:r w:rsidR="0008612E" w:rsidRPr="003112D2">
        <w:t>zedsięwzięcia</w:t>
      </w:r>
      <w:r w:rsidR="00E458A6" w:rsidRPr="003112D2">
        <w:rPr>
          <w:rStyle w:val="Odwoanieprzypisudolnego"/>
        </w:rPr>
        <w:footnoteReference w:id="4"/>
      </w:r>
      <w:r w:rsidRPr="003112D2">
        <w:t xml:space="preserve">. Arkusz jest w całości edytowalny, nie zawiera obszarów zablokowanych do edycji. Jeżeli arkusz nie odpowiada specyfice </w:t>
      </w:r>
      <w:r w:rsidR="0008612E" w:rsidRPr="003112D2">
        <w:t>przedsięwzięcia</w:t>
      </w:r>
      <w:r w:rsidRPr="003112D2">
        <w:t>, należy nanieść odpowiednie zmiany w konstrukcji arkusza (w</w:t>
      </w:r>
      <w:r w:rsidR="007F1600" w:rsidRPr="003112D2">
        <w:t xml:space="preserve"> </w:t>
      </w:r>
      <w:r w:rsidRPr="003112D2">
        <w:t xml:space="preserve">tym w formułach). </w:t>
      </w:r>
      <w:r w:rsidR="007F1600" w:rsidRPr="003112D2">
        <w:t xml:space="preserve">Dotyczy to zwłaszcza wyboru paliwa wodorowego, które wymaga wprowadzenia odpowiednich założeń związanych z emisyjnością. W przypadku autobusów wodorowych, ze względu m.in. na różne źródła wodoru i różną ich emisję oraz różne technologie, szablon nie obejmuje tego napędu, dlatego Wnioskodawca dostosowuje odpowiednio arkusz zgodnie z założeniami specyficznymi dla przedsięwzięcia. </w:t>
      </w:r>
      <w:r w:rsidRPr="003112D2">
        <w:t>Za wprowadzone zmiany w arkuszu oraz przyjęte założenia odpowiada Wnioskodawca. Będą one podlegały weryfikacji w procesie oceny wniosków.</w:t>
      </w:r>
      <w:r w:rsidR="007B1AFA" w:rsidRPr="003112D2">
        <w:t xml:space="preserve"> Przyjęte do obliczeń założenia powinny być opisane i uprawdopodobnione</w:t>
      </w:r>
      <w:r w:rsidR="000E65F7" w:rsidRPr="003112D2">
        <w:t xml:space="preserve"> (np. źródło metodyki)</w:t>
      </w:r>
      <w:r w:rsidR="007B1AFA" w:rsidRPr="003112D2">
        <w:t xml:space="preserve"> w przedmiotowym dokumencie.</w:t>
      </w:r>
    </w:p>
    <w:p w14:paraId="0770ABF8" w14:textId="2BF9123B" w:rsidR="007832C2" w:rsidRPr="003112D2" w:rsidRDefault="007832C2" w:rsidP="007832C2">
      <w:pPr>
        <w:ind w:left="360"/>
        <w:jc w:val="both"/>
      </w:pPr>
      <w:r w:rsidRPr="003112D2">
        <w:t xml:space="preserve">Wzór wskaźnika redukcji emisji, tj.”= ’NPV emisji w niskich warstwach atmosfery oraz CO2 w W0’ / ‘NPV emisji w niskich warstwach atmosfery oraz CO2 w WI’” zawiera informację, że do kalkulacji należy uwzględnić wariant bezinwestycyjny (W0) oraz wariant inwestycyjny (WI). Na potrzeby </w:t>
      </w:r>
      <w:r w:rsidR="0040088A" w:rsidRPr="003112D2">
        <w:t>szablonu przyjęto</w:t>
      </w:r>
      <w:r w:rsidRPr="003112D2">
        <w:t>, że trasa istniejąca to trasa, po której w wariancie bezinwestycyjnym poruszają się pojazdy dotychczasowe (podlegające wymianie: Diesel</w:t>
      </w:r>
      <w:r w:rsidR="0008404E" w:rsidRPr="003112D2">
        <w:rPr>
          <w:rStyle w:val="Odwoanieprzypisudolnego"/>
        </w:rPr>
        <w:footnoteReference w:id="5"/>
      </w:r>
      <w:r w:rsidRPr="003112D2">
        <w:t>), a w wariancie inwestycyjnym – pojazdy nowe (zakupywane: elektryczne,</w:t>
      </w:r>
      <w:r w:rsidR="00A945D1" w:rsidRPr="003112D2">
        <w:t xml:space="preserve"> wodorowe</w:t>
      </w:r>
      <w:r w:rsidRPr="003112D2">
        <w:t xml:space="preserve">), natomiast trasa nowa to trasa, po której w wariancie bezinwestycyjnym poruszają się samochody osobowe, a w wariancie inwestycyjnym pasażerowie tych samochodów przesiadają się do pojazdów nowych (zakupywane: elektryczne, </w:t>
      </w:r>
      <w:r w:rsidR="00430F72" w:rsidRPr="003112D2">
        <w:t>wodorowe</w:t>
      </w:r>
      <w:r w:rsidRPr="003112D2">
        <w:t xml:space="preserve">). Wskaźnik redukcji emisji jest wyliczany wspólnie dla trasy istniejącej oraz trasy nowej. </w:t>
      </w:r>
      <w:r w:rsidR="00115093" w:rsidRPr="003112D2">
        <w:t>Jeżeli w pr</w:t>
      </w:r>
      <w:r w:rsidR="001F5B87" w:rsidRPr="003112D2">
        <w:t>zedsięwzięciu</w:t>
      </w:r>
      <w:r w:rsidR="00115093" w:rsidRPr="003112D2">
        <w:t xml:space="preserve"> występuje więcej niż jedna trasa istniejąca i/lub więcej niż jedna trasa </w:t>
      </w:r>
      <w:r w:rsidR="00115093" w:rsidRPr="003112D2">
        <w:lastRenderedPageBreak/>
        <w:t xml:space="preserve">nowa, dla uproszczenia założenia dla nich należy skumulować w jednej pozycji właściwej dla trasy istniejącej i/lub nowej. </w:t>
      </w:r>
      <w:r w:rsidRPr="003112D2">
        <w:t>Ponieważ w konkursie musi wystąpić co najmniej jedna z</w:t>
      </w:r>
      <w:r w:rsidR="00147C68" w:rsidRPr="003112D2">
        <w:t xml:space="preserve"> tych</w:t>
      </w:r>
      <w:r w:rsidRPr="003112D2">
        <w:t xml:space="preserve"> tras, licznik i mianownik będą róż</w:t>
      </w:r>
      <w:r w:rsidR="0040088A" w:rsidRPr="003112D2">
        <w:t>ne od zera</w:t>
      </w:r>
      <w:r w:rsidRPr="003112D2">
        <w:t xml:space="preserve"> niezależnie od tego</w:t>
      </w:r>
      <w:r w:rsidR="0040088A" w:rsidRPr="003112D2">
        <w:t>,</w:t>
      </w:r>
      <w:r w:rsidRPr="003112D2">
        <w:t xml:space="preserve"> czy w pr</w:t>
      </w:r>
      <w:r w:rsidR="001F5B87" w:rsidRPr="003112D2">
        <w:t>zedsięwzięciu</w:t>
      </w:r>
      <w:r w:rsidRPr="003112D2">
        <w:t xml:space="preserve"> występuje tylko trasa istniejąca, tylko trasa nowa czy obydwie</w:t>
      </w:r>
      <w:r w:rsidR="00245DE2" w:rsidRPr="003112D2">
        <w:t xml:space="preserve"> </w:t>
      </w:r>
      <w:r w:rsidR="00A63666" w:rsidRPr="003112D2">
        <w:t>(chyba, że wykorzystane będzie źródło energii niewiążące się z produkcją gazów cieplarnianych i emisjami niskimi)</w:t>
      </w:r>
      <w:r w:rsidRPr="003112D2">
        <w:t>.</w:t>
      </w:r>
      <w:r w:rsidR="00BE2B82" w:rsidRPr="003112D2">
        <w:t xml:space="preserve"> </w:t>
      </w:r>
      <w:r w:rsidR="00147C68" w:rsidRPr="003112D2">
        <w:t>Ponadto d</w:t>
      </w:r>
      <w:r w:rsidR="00BE2B82" w:rsidRPr="003112D2">
        <w:t>la każdego rodzaju napędu możliwe jest wskazanie maksymalnie trzech typów pojazdów (różne kategorie EURO, różne parametry spalania lub zużycia energii</w:t>
      </w:r>
      <w:r w:rsidR="00147C68" w:rsidRPr="003112D2">
        <w:t xml:space="preserve"> zależnie np. od klasy mega/maxi/midi/mini</w:t>
      </w:r>
      <w:r w:rsidR="00BE2B82" w:rsidRPr="003112D2">
        <w:t>).</w:t>
      </w:r>
      <w:r w:rsidR="0008404E" w:rsidRPr="003112D2">
        <w:t xml:space="preserve"> Zdefiniowanie danego typu pojazdu pozostawione jest Wnioskodawcom. </w:t>
      </w:r>
    </w:p>
    <w:p w14:paraId="37B0C05C" w14:textId="77777777" w:rsidR="00B15919" w:rsidRPr="003112D2" w:rsidRDefault="001A0FBE" w:rsidP="007832C2">
      <w:pPr>
        <w:ind w:left="360"/>
        <w:jc w:val="both"/>
      </w:pPr>
      <w:r w:rsidRPr="003112D2">
        <w:t xml:space="preserve">Dla uproszczenia w kalkulatorze nie uwzględniono m.in. zmian </w:t>
      </w:r>
      <w:proofErr w:type="spellStart"/>
      <w:r w:rsidRPr="003112D2">
        <w:t>mixu</w:t>
      </w:r>
      <w:proofErr w:type="spellEnd"/>
      <w:r w:rsidRPr="003112D2">
        <w:t xml:space="preserve"> energetycznego w Polsce oraz zmian struktury pojazdów osobowych (spalinowe vs. elektryczne).</w:t>
      </w:r>
      <w:r w:rsidR="006F2609" w:rsidRPr="003112D2">
        <w:t xml:space="preserve"> Zakładki z kosztami jednostkowymi zostały ukryte, istnieje możliwość ich odkrycia</w:t>
      </w:r>
      <w:r w:rsidR="008D669C" w:rsidRPr="003112D2">
        <w:t>,</w:t>
      </w:r>
      <w:r w:rsidR="006F2609" w:rsidRPr="003112D2">
        <w:t xml:space="preserve"> jeżeli Wnioskodawca będzie potrzebował np. danych w nich zawartych.</w:t>
      </w:r>
      <w:r w:rsidR="009F53C3" w:rsidRPr="003112D2">
        <w:t xml:space="preserve"> Jeżeli arkusz nie odpowiada specyfice projektu, przykładowo Wnioskodawca posiada gwarancję</w:t>
      </w:r>
      <w:r w:rsidR="00A63666" w:rsidRPr="003112D2">
        <w:t>, że wykorzystane będzie źródło energii niewiążące się z produkcją gazów cieplarnianych i emisjami niskimi</w:t>
      </w:r>
      <w:r w:rsidR="009F53C3" w:rsidRPr="003112D2">
        <w:t xml:space="preserve"> i koszt emisji przez autobusy elektryczne będzie zerowy, możliwe jest wprowadzenie zmian w konstrukcji arkusza.</w:t>
      </w:r>
    </w:p>
    <w:p w14:paraId="08820D22" w14:textId="5E673031" w:rsidR="001A0FBE" w:rsidRPr="003112D2" w:rsidRDefault="009F53C3" w:rsidP="007832C2">
      <w:pPr>
        <w:ind w:left="360"/>
        <w:jc w:val="both"/>
      </w:pPr>
      <w:r w:rsidRPr="003112D2">
        <w:t xml:space="preserve"> </w:t>
      </w:r>
    </w:p>
    <w:p w14:paraId="003E8222" w14:textId="77777777" w:rsidR="005864FB" w:rsidRPr="003112D2" w:rsidRDefault="005864FB" w:rsidP="005864FB">
      <w:pPr>
        <w:pStyle w:val="Akapitzlist"/>
        <w:numPr>
          <w:ilvl w:val="0"/>
          <w:numId w:val="57"/>
        </w:numPr>
        <w:jc w:val="both"/>
        <w:rPr>
          <w:rStyle w:val="Nagwek3Znak"/>
          <w:color w:val="auto"/>
        </w:rPr>
      </w:pPr>
      <w:bookmarkStart w:id="22" w:name="_Toc136952678"/>
      <w:r w:rsidRPr="003112D2">
        <w:rPr>
          <w:rStyle w:val="Nagwek3Znak"/>
          <w:color w:val="auto"/>
        </w:rPr>
        <w:t xml:space="preserve">Case </w:t>
      </w:r>
      <w:proofErr w:type="spellStart"/>
      <w:r w:rsidRPr="003112D2">
        <w:rPr>
          <w:rStyle w:val="Nagwek3Znak"/>
          <w:color w:val="auto"/>
        </w:rPr>
        <w:t>study</w:t>
      </w:r>
      <w:bookmarkEnd w:id="22"/>
      <w:proofErr w:type="spellEnd"/>
    </w:p>
    <w:p w14:paraId="79130F57" w14:textId="21DDA4FC" w:rsidR="006866DE" w:rsidRPr="003112D2" w:rsidRDefault="0040088A" w:rsidP="007832C2">
      <w:pPr>
        <w:ind w:left="360"/>
        <w:jc w:val="both"/>
      </w:pPr>
      <w:r w:rsidRPr="003112D2">
        <w:t>W arkuszu kalkulacyjnym na zakładce „Wstęp” oraz na zakładce „Założenia” znajdują się instrukcje jak należy skorzystać z szablonu. Dla ułatwienia szablon przedstawia sposób wypełnienia na podstawie abstrakcyjnego pr</w:t>
      </w:r>
      <w:r w:rsidR="0008612E" w:rsidRPr="003112D2">
        <w:t>zedsięwzięcia</w:t>
      </w:r>
      <w:r w:rsidRPr="003112D2">
        <w:t xml:space="preserve"> pn. „</w:t>
      </w:r>
      <w:r w:rsidR="005864FB" w:rsidRPr="003112D2">
        <w:t xml:space="preserve">Zakup zeroemisyjnych autobusów w liczbie 14 sztuk” (por. „Założenia” wiersz 3). </w:t>
      </w:r>
      <w:r w:rsidR="006866DE" w:rsidRPr="003112D2">
        <w:t xml:space="preserve">Na trasie istniejącej </w:t>
      </w:r>
      <w:r w:rsidR="0008612E" w:rsidRPr="003112D2">
        <w:t>przedsięwzięcie</w:t>
      </w:r>
      <w:r w:rsidR="005864FB" w:rsidRPr="003112D2">
        <w:t xml:space="preserve"> zakłada</w:t>
      </w:r>
      <w:r w:rsidR="006866DE" w:rsidRPr="003112D2">
        <w:t xml:space="preserve"> wymianę 10 sztuk autobusów Diesel (dwa różne typy) poprzez</w:t>
      </w:r>
      <w:r w:rsidR="005864FB" w:rsidRPr="003112D2">
        <w:t xml:space="preserve"> zakup 10 sztuk autobusów</w:t>
      </w:r>
      <w:r w:rsidR="00464554" w:rsidRPr="003112D2">
        <w:t xml:space="preserve"> </w:t>
      </w:r>
      <w:r w:rsidR="006866DE" w:rsidRPr="003112D2">
        <w:t>elektrycznych (dwa typy),</w:t>
      </w:r>
      <w:r w:rsidR="005864FB" w:rsidRPr="003112D2">
        <w:t xml:space="preserve"> </w:t>
      </w:r>
    </w:p>
    <w:p w14:paraId="6B407743" w14:textId="78BBCC24" w:rsidR="006866DE" w:rsidRPr="003112D2" w:rsidRDefault="00470303" w:rsidP="006866DE">
      <w:pPr>
        <w:ind w:left="360"/>
        <w:jc w:val="both"/>
      </w:pPr>
      <w:r w:rsidRPr="003112D2">
        <w:rPr>
          <w:noProof/>
          <w:lang w:eastAsia="pl-PL"/>
        </w:rPr>
        <w:drawing>
          <wp:inline distT="0" distB="0" distL="0" distR="0" wp14:anchorId="2BFFA546" wp14:editId="020E9E7C">
            <wp:extent cx="5731510" cy="1752739"/>
            <wp:effectExtent l="0" t="0" r="254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752739"/>
                    </a:xfrm>
                    <a:prstGeom prst="rect">
                      <a:avLst/>
                    </a:prstGeom>
                    <a:noFill/>
                    <a:ln>
                      <a:noFill/>
                    </a:ln>
                  </pic:spPr>
                </pic:pic>
              </a:graphicData>
            </a:graphic>
          </wp:inline>
        </w:drawing>
      </w:r>
    </w:p>
    <w:p w14:paraId="232C3AE8" w14:textId="1DE3B418" w:rsidR="0040088A" w:rsidRPr="003112D2" w:rsidRDefault="005864FB" w:rsidP="007832C2">
      <w:pPr>
        <w:ind w:left="360"/>
        <w:jc w:val="both"/>
      </w:pPr>
      <w:r w:rsidRPr="003112D2">
        <w:t xml:space="preserve">a </w:t>
      </w:r>
      <w:r w:rsidR="006866DE" w:rsidRPr="003112D2">
        <w:t>na trasie nowej</w:t>
      </w:r>
      <w:r w:rsidR="00464554" w:rsidRPr="003112D2">
        <w:t xml:space="preserve"> </w:t>
      </w:r>
      <w:r w:rsidR="0008612E" w:rsidRPr="003112D2">
        <w:t>przedsięwzięcie</w:t>
      </w:r>
      <w:r w:rsidR="00464554" w:rsidRPr="003112D2">
        <w:t xml:space="preserve"> zakłada</w:t>
      </w:r>
      <w:r w:rsidR="006866DE" w:rsidRPr="003112D2">
        <w:t xml:space="preserve"> zakup 4 </w:t>
      </w:r>
      <w:r w:rsidR="00464554" w:rsidRPr="003112D2">
        <w:t xml:space="preserve">sztuk </w:t>
      </w:r>
      <w:r w:rsidR="006866DE" w:rsidRPr="003112D2">
        <w:t xml:space="preserve">autobusów </w:t>
      </w:r>
      <w:r w:rsidR="00470303" w:rsidRPr="003112D2">
        <w:t>elektrycznych</w:t>
      </w:r>
      <w:r w:rsidR="006866DE" w:rsidRPr="003112D2">
        <w:t xml:space="preserve"> (dwa typy).</w:t>
      </w:r>
      <w:r w:rsidRPr="003112D2">
        <w:t xml:space="preserve"> </w:t>
      </w:r>
    </w:p>
    <w:p w14:paraId="72DC899B" w14:textId="0C59F366" w:rsidR="006866DE" w:rsidRPr="003112D2" w:rsidRDefault="00470303" w:rsidP="007832C2">
      <w:pPr>
        <w:ind w:left="360"/>
        <w:jc w:val="both"/>
      </w:pPr>
      <w:r w:rsidRPr="003112D2">
        <w:rPr>
          <w:noProof/>
          <w:lang w:eastAsia="pl-PL"/>
        </w:rPr>
        <w:drawing>
          <wp:inline distT="0" distB="0" distL="0" distR="0" wp14:anchorId="04F599FF" wp14:editId="0E156A4A">
            <wp:extent cx="5731510" cy="1378267"/>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378267"/>
                    </a:xfrm>
                    <a:prstGeom prst="rect">
                      <a:avLst/>
                    </a:prstGeom>
                    <a:noFill/>
                    <a:ln>
                      <a:noFill/>
                    </a:ln>
                  </pic:spPr>
                </pic:pic>
              </a:graphicData>
            </a:graphic>
          </wp:inline>
        </w:drawing>
      </w:r>
    </w:p>
    <w:p w14:paraId="1197E969" w14:textId="77777777" w:rsidR="006866DE" w:rsidRPr="003112D2" w:rsidRDefault="00B749DC" w:rsidP="007D1304">
      <w:pPr>
        <w:ind w:left="360"/>
        <w:jc w:val="both"/>
      </w:pPr>
      <w:r w:rsidRPr="003112D2">
        <w:t>Prawidłowe zidentyfikowanie</w:t>
      </w:r>
      <w:r w:rsidR="00355171" w:rsidRPr="003112D2">
        <w:t>,</w:t>
      </w:r>
      <w:r w:rsidR="007D1304" w:rsidRPr="003112D2">
        <w:t xml:space="preserve"> jakie autobusy występują w pr</w:t>
      </w:r>
      <w:r w:rsidR="001F5B87" w:rsidRPr="003112D2">
        <w:t>zedsięwzięciu</w:t>
      </w:r>
      <w:r w:rsidR="007D1304" w:rsidRPr="003112D2">
        <w:t xml:space="preserve"> jest kluczowe, ponieważ dalej formuły uzależniają uwzględnienie do kalkulacji parametrów poszczególnych </w:t>
      </w:r>
      <w:r w:rsidRPr="003112D2">
        <w:lastRenderedPageBreak/>
        <w:t xml:space="preserve">typów </w:t>
      </w:r>
      <w:r w:rsidR="007D1304" w:rsidRPr="003112D2">
        <w:t xml:space="preserve">autobusów od wskazania "TAK". Poszczególne typy autobusów (podkreślone, na niebiesko) stanowią hiperłącza do odpowiednich miejsc na zakładkach „Emisje W0 trasa istniejąca”, „Emisje WI trasa istniejąca” oraz „Emisje WI trasa nowa”, gdzie należy podać kategorię EURO oraz parametry zużycia paliwa lub energii przez dany typ autobusu. Pozostałe wyliczenia emisji zostaną wykonane przez szablon automatycznie, dzięki elastycznym formułom. </w:t>
      </w:r>
    </w:p>
    <w:p w14:paraId="0BE21C6B" w14:textId="18CCB186" w:rsidR="00BD10E4" w:rsidRPr="003112D2" w:rsidRDefault="00592AB6" w:rsidP="00BD10E4">
      <w:pPr>
        <w:ind w:left="360"/>
        <w:jc w:val="both"/>
      </w:pPr>
      <w:r w:rsidRPr="003112D2">
        <w:t xml:space="preserve">Do wyliczenia wskaźnika redukcji emisji potrzebne jest jednak jeszcze uzupełnienie kilku założeń specyficznych dla </w:t>
      </w:r>
      <w:r w:rsidR="0008612E" w:rsidRPr="003112D2">
        <w:t>przedsięwzięcia</w:t>
      </w:r>
      <w:r w:rsidRPr="003112D2">
        <w:t>. W rozpatrywanym, abstrakcyjnym pr</w:t>
      </w:r>
      <w:r w:rsidR="001F5B87" w:rsidRPr="003112D2">
        <w:t>zedsięwzięciu</w:t>
      </w:r>
      <w:r w:rsidR="009234AA" w:rsidRPr="003112D2">
        <w:t xml:space="preserve"> przyjęto pierwszy rok </w:t>
      </w:r>
      <w:r w:rsidR="00D25CED" w:rsidRPr="003112D2">
        <w:t>eksploatacji</w:t>
      </w:r>
      <w:r w:rsidR="009234AA" w:rsidRPr="003112D2">
        <w:t>, kiedy zakupione autobusy rozpoczną funkcjonowanie, na rok 202</w:t>
      </w:r>
      <w:r w:rsidR="00A94357" w:rsidRPr="003112D2">
        <w:t>6</w:t>
      </w:r>
      <w:r w:rsidR="009234AA" w:rsidRPr="003112D2">
        <w:t xml:space="preserve"> (por. „Założenia” wiersz 7). N</w:t>
      </w:r>
      <w:r w:rsidRPr="003112D2">
        <w:t>a trasie istniejącej przyjęto pracę eksp</w:t>
      </w:r>
      <w:r w:rsidR="009234AA" w:rsidRPr="003112D2">
        <w:t xml:space="preserve">loatacyjną jako 800 tyś. </w:t>
      </w:r>
      <w:proofErr w:type="spellStart"/>
      <w:r w:rsidR="009234AA" w:rsidRPr="003112D2">
        <w:t>wozokm</w:t>
      </w:r>
      <w:proofErr w:type="spellEnd"/>
      <w:r w:rsidR="009234AA" w:rsidRPr="003112D2">
        <w:t xml:space="preserve"> </w:t>
      </w:r>
      <w:r w:rsidRPr="003112D2">
        <w:t xml:space="preserve">rocznie (por. „Założenia” wiersz </w:t>
      </w:r>
      <w:r w:rsidR="009234AA" w:rsidRPr="003112D2">
        <w:t>28</w:t>
      </w:r>
      <w:r w:rsidRPr="003112D2">
        <w:t xml:space="preserve">), a dla trasy nowej jako </w:t>
      </w:r>
      <w:r w:rsidR="00470303" w:rsidRPr="003112D2">
        <w:t>3</w:t>
      </w:r>
      <w:r w:rsidRPr="003112D2">
        <w:t xml:space="preserve">00 tyś. </w:t>
      </w:r>
      <w:proofErr w:type="spellStart"/>
      <w:r w:rsidRPr="003112D2">
        <w:t>wozokm</w:t>
      </w:r>
      <w:proofErr w:type="spellEnd"/>
      <w:r w:rsidRPr="003112D2">
        <w:t xml:space="preserve"> rocznie (por. „Założenia” wiersz </w:t>
      </w:r>
      <w:r w:rsidR="009234AA" w:rsidRPr="003112D2">
        <w:t>63</w:t>
      </w:r>
      <w:r w:rsidRPr="003112D2">
        <w:t>) oraz odpowiednio procentowy udział pracy eksploatacyj</w:t>
      </w:r>
      <w:r w:rsidR="0075573C" w:rsidRPr="003112D2">
        <w:t>nej wykonywanej na trasie przez poszczególne typy autobusów. Takie wyszczególnienie jest istotne, ponieważ emisja danego typu autobusów będzie dalej przemnoż</w:t>
      </w:r>
      <w:r w:rsidR="00422740" w:rsidRPr="003112D2">
        <w:t xml:space="preserve">ona </w:t>
      </w:r>
      <w:r w:rsidR="0075573C" w:rsidRPr="003112D2">
        <w:t>przez pracę eksploatacyjną wykonywaną przez dany typ.</w:t>
      </w:r>
      <w:r w:rsidR="00422740" w:rsidRPr="003112D2">
        <w:t xml:space="preserve"> Dla trasy nowej koniecznie jest podanie rocznej liczby przewiezionych pasażerów (por. „Założenia” wiersz </w:t>
      </w:r>
      <w:r w:rsidR="009234AA" w:rsidRPr="003112D2">
        <w:t>82</w:t>
      </w:r>
      <w:r w:rsidR="00422740" w:rsidRPr="003112D2">
        <w:t>), ponieważ ten parametr jest potrzebny do wyliczenia pracy eksploatacyjnej samochodów osobowych, z zastosowaniem uproszczonej metodyki niewymagającej posiadania przez Wnioskodawcę modelu ruchu.</w:t>
      </w:r>
      <w:r w:rsidR="00BD10E4" w:rsidRPr="003112D2">
        <w:t xml:space="preserve"> W rozpatrywanym, abstrakcyjnym pr</w:t>
      </w:r>
      <w:r w:rsidR="001F5B87" w:rsidRPr="003112D2">
        <w:t>zedsięwzięciu</w:t>
      </w:r>
      <w:r w:rsidR="00BD10E4" w:rsidRPr="003112D2">
        <w:t xml:space="preserve"> liczba ta wynosi 200 tyś pasażerów. Wnioskodawca powinien opisać metodykę wyliczenia rocznej liczby pasażerów w USW, uwzględniając m.in. liczbę miejsc w autobusach czy częstotliwość kursowania oraz powiązać ją z analizą popytu przeprowadzoną w rozdziale A.</w:t>
      </w:r>
      <w:r w:rsidR="0008612E" w:rsidRPr="003112D2">
        <w:t xml:space="preserve"> </w:t>
      </w:r>
      <w:r w:rsidR="00BD10E4" w:rsidRPr="003112D2">
        <w:t xml:space="preserve">Analiza zapotrzebowania na </w:t>
      </w:r>
      <w:r w:rsidR="0008612E" w:rsidRPr="003112D2">
        <w:t>przedsięwzięcie</w:t>
      </w:r>
      <w:r w:rsidR="00BD10E4" w:rsidRPr="003112D2">
        <w:t>. Ostatnim elementem niezbędnym do wyliczenia pracy eksploatacyjnej samochodów osobowych jest wskazanie długości trasy autobusowej w jedną stronę (por. „Założenia” wiersz</w:t>
      </w:r>
      <w:r w:rsidR="009234AA" w:rsidRPr="003112D2">
        <w:t xml:space="preserve"> 85</w:t>
      </w:r>
      <w:r w:rsidR="00BD10E4" w:rsidRPr="003112D2">
        <w:t xml:space="preserve">). To uproszczenie, z zastosowaniem przez kalkulator założonego z góry parametru średniego napełnienia samochodów osobowych jako 1,4 (tj. że średnio podróż wykonuje 1,4 osoby) pozwoli na uzyskanie </w:t>
      </w:r>
      <w:proofErr w:type="spellStart"/>
      <w:r w:rsidR="00BD10E4" w:rsidRPr="003112D2">
        <w:t>pojazdokilometrów</w:t>
      </w:r>
      <w:proofErr w:type="spellEnd"/>
      <w:r w:rsidR="00BD10E4" w:rsidRPr="003112D2">
        <w:t>, które w rozpatrywanym, abstrakcyjnym pr</w:t>
      </w:r>
      <w:r w:rsidR="001F5B87" w:rsidRPr="003112D2">
        <w:t>zedsięwzięciu</w:t>
      </w:r>
      <w:r w:rsidR="00BD10E4" w:rsidRPr="003112D2">
        <w:t xml:space="preserve"> wyniosły 2 142 870 </w:t>
      </w:r>
      <w:proofErr w:type="spellStart"/>
      <w:r w:rsidR="00BD10E4" w:rsidRPr="003112D2">
        <w:t>pojkm</w:t>
      </w:r>
      <w:proofErr w:type="spellEnd"/>
      <w:r w:rsidR="00BD10E4" w:rsidRPr="003112D2">
        <w:t xml:space="preserve">/rok. </w:t>
      </w:r>
    </w:p>
    <w:p w14:paraId="6D08A0C6" w14:textId="7FC31A3F" w:rsidR="00A94357" w:rsidRPr="003112D2" w:rsidRDefault="00BD10E4" w:rsidP="00A94357">
      <w:pPr>
        <w:ind w:left="360"/>
        <w:jc w:val="both"/>
      </w:pPr>
      <w:r w:rsidRPr="003112D2">
        <w:t>Po uzupełnieniu zakładki „Założenia” oraz zakładek „Emisje W0 trasa istniejąca”, „Emisje WI” trasa istniejąca” oraz „Emisje WI trasa nowa” (jeśli dotyczy danego pr</w:t>
      </w:r>
      <w:r w:rsidR="0008612E" w:rsidRPr="003112D2">
        <w:t>zedsięwzięcia</w:t>
      </w:r>
      <w:r w:rsidRPr="003112D2">
        <w:t>)</w:t>
      </w:r>
      <w:r w:rsidR="0044618E" w:rsidRPr="003112D2">
        <w:t xml:space="preserve"> w polach zaznaczonych na żółto, kalkulator wyliczy emisje CO2 oraz emisje niskie (SO2, NMHC/NMVOC, </w:t>
      </w:r>
      <w:proofErr w:type="spellStart"/>
      <w:r w:rsidR="0044618E" w:rsidRPr="003112D2">
        <w:t>NOx</w:t>
      </w:r>
      <w:proofErr w:type="spellEnd"/>
      <w:r w:rsidR="0044618E" w:rsidRPr="003112D2">
        <w:t xml:space="preserve">, PM), </w:t>
      </w:r>
      <w:proofErr w:type="spellStart"/>
      <w:r w:rsidR="0044618E" w:rsidRPr="003112D2">
        <w:t>zmonetyzuje</w:t>
      </w:r>
      <w:proofErr w:type="spellEnd"/>
      <w:r w:rsidR="0044618E" w:rsidRPr="003112D2">
        <w:t xml:space="preserve"> je i poda wskaźnik redukcji emisji na zakładce „Wskaźnik redukcji emisji”.</w:t>
      </w:r>
      <w:r w:rsidR="000E65F7" w:rsidRPr="003112D2">
        <w:t xml:space="preserve"> Jeżeli wskaźnik będzie mniejszy bądź równy 1, w komórce F4 pojawi się komunikat „UWAGA! BRAK REDUKCJI”, co oznacza konieczność weryfikacji założeń przedsięwzięcia i/lub wprowadzonych danych do arkusza. </w:t>
      </w:r>
      <w:r w:rsidR="0044618E" w:rsidRPr="003112D2">
        <w:t>Dla rozpatrywanego, abstrakcyjnego pr</w:t>
      </w:r>
      <w:r w:rsidR="0008612E" w:rsidRPr="003112D2">
        <w:t>zedsięwzięcia</w:t>
      </w:r>
      <w:r w:rsidR="0044618E" w:rsidRPr="003112D2">
        <w:t xml:space="preserve"> wynosi on 1,</w:t>
      </w:r>
      <w:r w:rsidR="00A94357" w:rsidRPr="003112D2">
        <w:t>7</w:t>
      </w:r>
      <w:r w:rsidR="00113439" w:rsidRPr="003112D2">
        <w:t>15</w:t>
      </w:r>
      <w:r w:rsidR="00A94357" w:rsidRPr="003112D2">
        <w:t xml:space="preserve">. </w:t>
      </w:r>
    </w:p>
    <w:p w14:paraId="7C68DBFB" w14:textId="03B7BF10" w:rsidR="00BD10E4" w:rsidRPr="003112D2" w:rsidRDefault="00BD10E4" w:rsidP="00BD10E4">
      <w:pPr>
        <w:ind w:left="360"/>
        <w:jc w:val="both"/>
      </w:pPr>
    </w:p>
    <w:p w14:paraId="5DCC2557" w14:textId="77777777" w:rsidR="00757A53" w:rsidRPr="003112D2" w:rsidRDefault="00757A53" w:rsidP="00C11088">
      <w:pPr>
        <w:pStyle w:val="Nagwek2"/>
        <w:numPr>
          <w:ilvl w:val="0"/>
          <w:numId w:val="51"/>
        </w:numPr>
        <w:rPr>
          <w:color w:val="auto"/>
        </w:rPr>
      </w:pPr>
      <w:bookmarkStart w:id="23" w:name="_Toc136952679"/>
      <w:r w:rsidRPr="003112D2">
        <w:rPr>
          <w:color w:val="auto"/>
        </w:rPr>
        <w:t>Zgodność z zasadą DNSH</w:t>
      </w:r>
      <w:bookmarkEnd w:id="23"/>
    </w:p>
    <w:p w14:paraId="7BC16FDD" w14:textId="77777777" w:rsidR="001D6090" w:rsidRPr="003112D2" w:rsidRDefault="001D6090" w:rsidP="001D6090">
      <w:pPr>
        <w:pStyle w:val="HTML-wstpniesformatowany"/>
        <w:jc w:val="both"/>
        <w:rPr>
          <w:rFonts w:asciiTheme="minorHAnsi" w:eastAsiaTheme="minorHAnsi" w:hAnsiTheme="minorHAnsi" w:cstheme="minorBidi"/>
          <w:kern w:val="20"/>
          <w:sz w:val="22"/>
          <w:szCs w:val="22"/>
          <w:lang w:eastAsia="en-US"/>
        </w:rPr>
      </w:pPr>
    </w:p>
    <w:p w14:paraId="46ED7BC1" w14:textId="77777777" w:rsidR="00625E5E" w:rsidRPr="003112D2" w:rsidRDefault="00625E5E" w:rsidP="00625E5E">
      <w:pPr>
        <w:pStyle w:val="HTML-wstpniesformatowany"/>
        <w:spacing w:after="120"/>
        <w:ind w:left="426"/>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 xml:space="preserve">W ramach potwierdzenia zgodności z zasadą DNSH (należy przez to rozumieć zasadę „nie czyń poważnych szkód” ‘Do No </w:t>
      </w:r>
      <w:proofErr w:type="spellStart"/>
      <w:r w:rsidRPr="003112D2">
        <w:rPr>
          <w:rFonts w:asciiTheme="minorHAnsi" w:eastAsiaTheme="minorHAnsi" w:hAnsiTheme="minorHAnsi" w:cstheme="minorBidi"/>
          <w:kern w:val="20"/>
          <w:sz w:val="22"/>
          <w:szCs w:val="22"/>
          <w:lang w:eastAsia="en-US"/>
        </w:rPr>
        <w:t>Significant</w:t>
      </w:r>
      <w:proofErr w:type="spellEnd"/>
      <w:r w:rsidRPr="003112D2">
        <w:rPr>
          <w:rFonts w:asciiTheme="minorHAnsi" w:eastAsiaTheme="minorHAnsi" w:hAnsiTheme="minorHAnsi" w:cstheme="minorBidi"/>
          <w:kern w:val="20"/>
          <w:sz w:val="22"/>
          <w:szCs w:val="22"/>
          <w:lang w:eastAsia="en-US"/>
        </w:rPr>
        <w:t xml:space="preserve"> </w:t>
      </w:r>
      <w:proofErr w:type="spellStart"/>
      <w:r w:rsidRPr="003112D2">
        <w:rPr>
          <w:rFonts w:asciiTheme="minorHAnsi" w:eastAsiaTheme="minorHAnsi" w:hAnsiTheme="minorHAnsi" w:cstheme="minorBidi"/>
          <w:kern w:val="20"/>
          <w:sz w:val="22"/>
          <w:szCs w:val="22"/>
          <w:lang w:eastAsia="en-US"/>
        </w:rPr>
        <w:t>Harm</w:t>
      </w:r>
      <w:proofErr w:type="spellEnd"/>
      <w:r w:rsidRPr="003112D2">
        <w:rPr>
          <w:rFonts w:asciiTheme="minorHAnsi" w:eastAsiaTheme="minorHAnsi" w:hAnsiTheme="minorHAnsi" w:cstheme="minorBidi"/>
          <w:kern w:val="20"/>
          <w:sz w:val="22"/>
          <w:szCs w:val="22"/>
          <w:lang w:eastAsia="en-US"/>
        </w:rPr>
        <w:t>’) na etapie przygotowania wniosku o objęcie przedsięwzięcia wsparciem należy przedłożyć oświadczenia oraz analizy, o których mowa poniżej.</w:t>
      </w:r>
    </w:p>
    <w:p w14:paraId="1FB1685E" w14:textId="77777777" w:rsidR="00625E5E" w:rsidRPr="003112D2" w:rsidRDefault="00625E5E" w:rsidP="00625E5E">
      <w:pPr>
        <w:pStyle w:val="HTML-wstpniesformatowany"/>
        <w:spacing w:after="120"/>
        <w:ind w:left="426"/>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Analiza zgodności z zasadą DNSH powinna wykazać, że przedmiotowy typ przedsięwzięcia będzie zgodny z celami środowiskowymi:</w:t>
      </w:r>
    </w:p>
    <w:p w14:paraId="73FD9C09" w14:textId="77777777" w:rsidR="00625E5E" w:rsidRPr="003112D2" w:rsidRDefault="00625E5E" w:rsidP="00315675">
      <w:pPr>
        <w:pStyle w:val="HTML-wstpniesformatowany"/>
        <w:numPr>
          <w:ilvl w:val="0"/>
          <w:numId w:val="76"/>
        </w:numPr>
        <w:jc w:val="both"/>
        <w:rPr>
          <w:rFonts w:asciiTheme="minorHAnsi" w:eastAsiaTheme="minorHAnsi" w:hAnsiTheme="minorHAnsi" w:cstheme="minorBidi"/>
          <w:kern w:val="20"/>
          <w:sz w:val="22"/>
          <w:szCs w:val="22"/>
        </w:rPr>
      </w:pPr>
      <w:r w:rsidRPr="003112D2">
        <w:rPr>
          <w:rFonts w:asciiTheme="minorHAnsi" w:eastAsiaTheme="minorHAnsi" w:hAnsiTheme="minorHAnsi" w:cstheme="minorBidi"/>
          <w:kern w:val="20"/>
          <w:sz w:val="22"/>
          <w:szCs w:val="22"/>
          <w:lang w:eastAsia="en-US"/>
        </w:rPr>
        <w:t>Łagodzenie zmian klimatu,</w:t>
      </w:r>
    </w:p>
    <w:p w14:paraId="635806D2" w14:textId="77777777" w:rsidR="00625E5E" w:rsidRPr="003112D2" w:rsidRDefault="00625E5E" w:rsidP="00315675">
      <w:pPr>
        <w:pStyle w:val="HTML-wstpniesformatowany"/>
        <w:numPr>
          <w:ilvl w:val="0"/>
          <w:numId w:val="76"/>
        </w:numPr>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Adaptacja do zmian klimatu,</w:t>
      </w:r>
    </w:p>
    <w:p w14:paraId="430A8260" w14:textId="77777777" w:rsidR="00625E5E" w:rsidRPr="003112D2" w:rsidRDefault="00625E5E" w:rsidP="00315675">
      <w:pPr>
        <w:pStyle w:val="HTML-wstpniesformatowany"/>
        <w:numPr>
          <w:ilvl w:val="0"/>
          <w:numId w:val="76"/>
        </w:numPr>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Zrównoważone wykorzystywanie i ochrona zasobów wodnych i morskich,</w:t>
      </w:r>
    </w:p>
    <w:p w14:paraId="05387FC9" w14:textId="77777777" w:rsidR="00625E5E" w:rsidRPr="003112D2" w:rsidRDefault="00625E5E" w:rsidP="00315675">
      <w:pPr>
        <w:pStyle w:val="HTML-wstpniesformatowany"/>
        <w:numPr>
          <w:ilvl w:val="0"/>
          <w:numId w:val="76"/>
        </w:numPr>
        <w:jc w:val="both"/>
        <w:rPr>
          <w:rFonts w:asciiTheme="minorHAnsi" w:eastAsiaTheme="minorHAnsi" w:hAnsiTheme="minorHAnsi" w:cstheme="minorBidi"/>
          <w:kern w:val="20"/>
          <w:sz w:val="22"/>
          <w:szCs w:val="22"/>
          <w:lang w:eastAsia="en-US"/>
        </w:rPr>
      </w:pPr>
      <w:r w:rsidRPr="003112D2">
        <w:rPr>
          <w:rFonts w:ascii="Verdana" w:hAnsi="Verdana" w:cs="Calibri"/>
          <w:kern w:val="20"/>
          <w:sz w:val="18"/>
          <w:szCs w:val="18"/>
        </w:rPr>
        <w:lastRenderedPageBreak/>
        <w:t>Gospodarka o obiegu zamkniętym, w tym zapobieganie powstawaniu odpadów i recykling,</w:t>
      </w:r>
    </w:p>
    <w:p w14:paraId="638AEC81" w14:textId="77777777" w:rsidR="00625E5E" w:rsidRPr="003112D2" w:rsidRDefault="00625E5E" w:rsidP="00315675">
      <w:pPr>
        <w:pStyle w:val="HTML-wstpniesformatowany"/>
        <w:numPr>
          <w:ilvl w:val="0"/>
          <w:numId w:val="76"/>
        </w:numPr>
        <w:jc w:val="both"/>
        <w:rPr>
          <w:rFonts w:asciiTheme="minorHAnsi" w:eastAsiaTheme="minorHAnsi" w:hAnsiTheme="minorHAnsi" w:cstheme="minorBidi"/>
          <w:kern w:val="20"/>
          <w:sz w:val="22"/>
          <w:szCs w:val="22"/>
          <w:lang w:eastAsia="en-US"/>
        </w:rPr>
      </w:pPr>
      <w:r w:rsidRPr="003112D2">
        <w:rPr>
          <w:rFonts w:ascii="Verdana" w:eastAsia="Calibri" w:hAnsi="Verdana"/>
          <w:kern w:val="20"/>
          <w:sz w:val="18"/>
          <w:szCs w:val="18"/>
        </w:rPr>
        <w:t>Zapobieganie zanieczyszczeniom powietrza, wody lub gleby i jego kontrola,</w:t>
      </w:r>
    </w:p>
    <w:p w14:paraId="639FEA53" w14:textId="77777777" w:rsidR="00625E5E" w:rsidRPr="003112D2" w:rsidRDefault="00625E5E" w:rsidP="00315675">
      <w:pPr>
        <w:pStyle w:val="HTML-wstpniesformatowany"/>
        <w:numPr>
          <w:ilvl w:val="0"/>
          <w:numId w:val="76"/>
        </w:numPr>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Ochrona i odbudowa bioróżnorodności i ekosystemów.</w:t>
      </w:r>
    </w:p>
    <w:p w14:paraId="08ED6DB6" w14:textId="77777777" w:rsidR="00625E5E" w:rsidRPr="003112D2" w:rsidRDefault="00625E5E">
      <w:pPr>
        <w:pStyle w:val="HTML-wstpniesformatowany"/>
        <w:ind w:left="426"/>
        <w:jc w:val="both"/>
        <w:rPr>
          <w:rFonts w:asciiTheme="minorHAnsi" w:eastAsiaTheme="minorHAnsi" w:hAnsiTheme="minorHAnsi" w:cstheme="minorBidi"/>
          <w:kern w:val="20"/>
          <w:sz w:val="22"/>
          <w:szCs w:val="22"/>
          <w:lang w:eastAsia="en-US"/>
        </w:rPr>
      </w:pPr>
    </w:p>
    <w:p w14:paraId="1796A6C0" w14:textId="77777777" w:rsidR="00625E5E" w:rsidRPr="003112D2" w:rsidRDefault="00625E5E">
      <w:pPr>
        <w:pStyle w:val="HTML-wstpniesformatowany"/>
        <w:ind w:left="426"/>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Przy opracowywaniu analiz należy posiłkować się ustaleniami, dokonanymi w dokumentach:</w:t>
      </w:r>
    </w:p>
    <w:p w14:paraId="0987E01B" w14:textId="77777777" w:rsidR="00625E5E" w:rsidRPr="003112D2" w:rsidRDefault="00625E5E" w:rsidP="00315675">
      <w:pPr>
        <w:pStyle w:val="Tekstprzypisudolnego"/>
        <w:numPr>
          <w:ilvl w:val="0"/>
          <w:numId w:val="77"/>
        </w:numPr>
        <w:jc w:val="both"/>
        <w:rPr>
          <w:kern w:val="20"/>
          <w:sz w:val="22"/>
          <w:szCs w:val="22"/>
        </w:rPr>
      </w:pPr>
      <w:r w:rsidRPr="003112D2">
        <w:rPr>
          <w:rFonts w:ascii="Verdana" w:hAnsi="Verdana"/>
          <w:sz w:val="16"/>
          <w:szCs w:val="16"/>
        </w:rPr>
        <w:t>„</w:t>
      </w:r>
      <w:r w:rsidRPr="003112D2">
        <w:rPr>
          <w:kern w:val="20"/>
          <w:sz w:val="22"/>
          <w:szCs w:val="22"/>
        </w:rPr>
        <w:t xml:space="preserve">Ocena DNSH reform i inwestycji (wiązek projektów) przedstawionych w KPO” </w:t>
      </w:r>
      <w:hyperlink w:history="1">
        <w:r w:rsidRPr="003112D2">
          <w:rPr>
            <w:kern w:val="20"/>
            <w:sz w:val="22"/>
            <w:szCs w:val="22"/>
          </w:rPr>
          <w:t>https://www.gov.pl/attachment/035d99d8-c439-4c84-b77b-f2cb5d4772e8</w:t>
        </w:r>
      </w:hyperlink>
      <w:r w:rsidRPr="003112D2">
        <w:rPr>
          <w:kern w:val="20"/>
          <w:sz w:val="22"/>
          <w:szCs w:val="22"/>
        </w:rPr>
        <w:t xml:space="preserve"> </w:t>
      </w:r>
    </w:p>
    <w:p w14:paraId="3CAD22CE" w14:textId="77777777" w:rsidR="00625E5E" w:rsidRPr="003112D2" w:rsidRDefault="00625E5E" w:rsidP="00315675">
      <w:pPr>
        <w:pStyle w:val="Tekstprzypisudolnego"/>
        <w:numPr>
          <w:ilvl w:val="0"/>
          <w:numId w:val="77"/>
        </w:numPr>
        <w:jc w:val="both"/>
        <w:rPr>
          <w:kern w:val="20"/>
          <w:sz w:val="22"/>
          <w:szCs w:val="22"/>
        </w:rPr>
      </w:pPr>
      <w:r w:rsidRPr="003112D2">
        <w:rPr>
          <w:kern w:val="20"/>
          <w:sz w:val="22"/>
          <w:szCs w:val="22"/>
        </w:rPr>
        <w:t xml:space="preserve"> </w:t>
      </w:r>
      <w:proofErr w:type="spellStart"/>
      <w:r w:rsidRPr="003112D2">
        <w:rPr>
          <w:kern w:val="20"/>
          <w:sz w:val="22"/>
          <w:szCs w:val="22"/>
        </w:rPr>
        <w:t>Council</w:t>
      </w:r>
      <w:proofErr w:type="spellEnd"/>
      <w:r w:rsidRPr="003112D2">
        <w:rPr>
          <w:kern w:val="20"/>
          <w:sz w:val="22"/>
          <w:szCs w:val="22"/>
        </w:rPr>
        <w:t xml:space="preserve"> </w:t>
      </w:r>
      <w:proofErr w:type="spellStart"/>
      <w:r w:rsidRPr="003112D2">
        <w:rPr>
          <w:kern w:val="20"/>
          <w:sz w:val="22"/>
          <w:szCs w:val="22"/>
        </w:rPr>
        <w:t>Implementing</w:t>
      </w:r>
      <w:proofErr w:type="spellEnd"/>
      <w:r w:rsidRPr="003112D2">
        <w:rPr>
          <w:kern w:val="20"/>
          <w:sz w:val="22"/>
          <w:szCs w:val="22"/>
        </w:rPr>
        <w:t xml:space="preserve"> </w:t>
      </w:r>
      <w:proofErr w:type="spellStart"/>
      <w:r w:rsidRPr="003112D2">
        <w:rPr>
          <w:kern w:val="20"/>
          <w:sz w:val="22"/>
          <w:szCs w:val="22"/>
        </w:rPr>
        <w:t>Decision</w:t>
      </w:r>
      <w:proofErr w:type="spellEnd"/>
      <w:r w:rsidRPr="003112D2">
        <w:rPr>
          <w:kern w:val="20"/>
          <w:sz w:val="22"/>
          <w:szCs w:val="22"/>
        </w:rPr>
        <w:t xml:space="preserve"> (CID) </w:t>
      </w:r>
      <w:hyperlink w:history="1">
        <w:r w:rsidRPr="003112D2">
          <w:rPr>
            <w:kern w:val="20"/>
            <w:sz w:val="22"/>
            <w:szCs w:val="22"/>
          </w:rPr>
          <w:t>https://www.gov.pl/web/planodbudowy/o-kpo</w:t>
        </w:r>
      </w:hyperlink>
      <w:r w:rsidRPr="003112D2">
        <w:rPr>
          <w:kern w:val="20"/>
          <w:sz w:val="22"/>
          <w:szCs w:val="22"/>
        </w:rPr>
        <w:t xml:space="preserve"> oraz ustalenia operacyjne w sprawie KPO </w:t>
      </w:r>
      <w:hyperlink w:history="1">
        <w:r w:rsidRPr="003112D2">
          <w:rPr>
            <w:kern w:val="20"/>
            <w:sz w:val="22"/>
            <w:szCs w:val="22"/>
          </w:rPr>
          <w:t>https://www.gov.pl/web/planodbudowy/o-kpo</w:t>
        </w:r>
      </w:hyperlink>
    </w:p>
    <w:p w14:paraId="21946A68" w14:textId="77777777" w:rsidR="00D23706" w:rsidRPr="003112D2" w:rsidRDefault="00625E5E" w:rsidP="00315675">
      <w:pPr>
        <w:pStyle w:val="Tekstprzypisudolnego"/>
        <w:numPr>
          <w:ilvl w:val="0"/>
          <w:numId w:val="77"/>
        </w:numPr>
        <w:jc w:val="both"/>
        <w:rPr>
          <w:kern w:val="20"/>
          <w:sz w:val="22"/>
          <w:szCs w:val="22"/>
        </w:rPr>
      </w:pPr>
      <w:r w:rsidRPr="003112D2">
        <w:rPr>
          <w:kern w:val="20"/>
          <w:sz w:val="22"/>
          <w:szCs w:val="22"/>
        </w:rPr>
        <w:t>Wytyczne techniczne dotyczące stosowania zasady „nie czyń poważnych szkód” na podstawie rozporządzenia ustanawiającego Instrument na rzecz Odbudowy i Zwiększania Odporności (2021/C 58/01)</w:t>
      </w:r>
      <w:r w:rsidR="00D23706" w:rsidRPr="003112D2">
        <w:rPr>
          <w:kern w:val="20"/>
          <w:sz w:val="22"/>
          <w:szCs w:val="22"/>
        </w:rPr>
        <w:t xml:space="preserve"> </w:t>
      </w:r>
    </w:p>
    <w:p w14:paraId="7B380D75" w14:textId="77777777" w:rsidR="00D23706" w:rsidRPr="003112D2" w:rsidRDefault="00887E62" w:rsidP="00315675">
      <w:pPr>
        <w:pStyle w:val="Tekstkomentarza"/>
        <w:ind w:left="770"/>
      </w:pPr>
      <w:hyperlink w:history="1">
        <w:r w:rsidR="00D23706" w:rsidRPr="003112D2">
          <w:rPr>
            <w:rStyle w:val="Hipercze"/>
            <w:color w:val="auto"/>
          </w:rPr>
          <w:t>https://eur-lex.europa.eu/legal-content/PL/TXT/HTML/?uri=CELEX%3A52021XC0218%2801%29</w:t>
        </w:r>
      </w:hyperlink>
      <w:r w:rsidR="00D23706" w:rsidRPr="003112D2">
        <w:t xml:space="preserve"> </w:t>
      </w:r>
    </w:p>
    <w:p w14:paraId="162D998F" w14:textId="6F6111E3" w:rsidR="00625E5E" w:rsidRPr="003112D2" w:rsidRDefault="00625E5E">
      <w:pPr>
        <w:pStyle w:val="HTML-wstpniesformatowany"/>
        <w:ind w:left="426"/>
        <w:jc w:val="both"/>
        <w:rPr>
          <w:rFonts w:asciiTheme="minorHAnsi" w:eastAsiaTheme="minorHAnsi" w:hAnsiTheme="minorHAnsi" w:cstheme="minorBidi"/>
          <w:kern w:val="20"/>
          <w:sz w:val="22"/>
          <w:szCs w:val="22"/>
          <w:lang w:eastAsia="en-US"/>
        </w:rPr>
      </w:pPr>
      <w:r w:rsidRPr="003112D2">
        <w:rPr>
          <w:kern w:val="20"/>
          <w:sz w:val="22"/>
          <w:szCs w:val="22"/>
        </w:rPr>
        <w:t xml:space="preserve"> </w:t>
      </w:r>
    </w:p>
    <w:p w14:paraId="6E68C2A3" w14:textId="77777777" w:rsidR="00625E5E" w:rsidRPr="003112D2" w:rsidRDefault="00625E5E">
      <w:pPr>
        <w:pStyle w:val="HTML-wstpniesformatowany"/>
        <w:ind w:left="426"/>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 xml:space="preserve">Udzielone odpowiedzi powinny zostać dostosowane do wymagań indywidualnych przedsięwzięcia, w tym w szczególności od rodzaju napędu/źródeł zasilania/tankowania planowanego do zakupu autobusu w całym cyklu życia przedsięwzięcia (od etapu studialnego do etapu likwidacji). </w:t>
      </w:r>
    </w:p>
    <w:p w14:paraId="43FFD031" w14:textId="77777777" w:rsidR="00625E5E" w:rsidRPr="003112D2" w:rsidRDefault="00625E5E" w:rsidP="00625E5E">
      <w:pPr>
        <w:pStyle w:val="HTML-wstpniesformatowany"/>
        <w:ind w:left="426"/>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b/>
          <w:kern w:val="20"/>
          <w:sz w:val="22"/>
          <w:szCs w:val="22"/>
          <w:lang w:eastAsia="en-US"/>
        </w:rPr>
        <w:t>W analizie należy uwzględnić część przedsięwzięcia związaną z infrastrukturą ładowania/ tankowania</w:t>
      </w:r>
      <w:r w:rsidRPr="003112D2">
        <w:rPr>
          <w:rFonts w:asciiTheme="minorHAnsi" w:eastAsiaTheme="minorHAnsi" w:hAnsiTheme="minorHAnsi" w:cstheme="minorBidi"/>
          <w:kern w:val="20"/>
          <w:sz w:val="22"/>
          <w:szCs w:val="22"/>
          <w:lang w:eastAsia="en-US"/>
        </w:rPr>
        <w:t xml:space="preserve"> – o ile taka będzie stanowić przedmiot planowanego do realizacji przedsięwzięcia.</w:t>
      </w:r>
    </w:p>
    <w:p w14:paraId="47E2ADB5" w14:textId="77777777" w:rsidR="00625E5E" w:rsidRPr="003112D2" w:rsidRDefault="00625E5E" w:rsidP="00625E5E">
      <w:pPr>
        <w:pStyle w:val="HTML-wstpniesformatowany"/>
        <w:ind w:left="426"/>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 xml:space="preserve">Dodatkowo, w przypadku planowanej realizacji inwestycji w części związanej z infrastrukturą ładowania/tankowania pojazdów należy przeprowadzić osobną analizę w kontekście kwalifikacji tej części inwestycji do przedsięwzięć wymienionych w Rozporządzeniu RM w sprawie rodzajów przedsięwzięć mogących znacząco oddziaływać na środowisko (Dz. U. 2019 poz. 1839 z </w:t>
      </w:r>
      <w:proofErr w:type="spellStart"/>
      <w:r w:rsidRPr="003112D2">
        <w:rPr>
          <w:rFonts w:asciiTheme="minorHAnsi" w:eastAsiaTheme="minorHAnsi" w:hAnsiTheme="minorHAnsi" w:cstheme="minorBidi"/>
          <w:kern w:val="20"/>
          <w:sz w:val="22"/>
          <w:szCs w:val="22"/>
          <w:lang w:eastAsia="en-US"/>
        </w:rPr>
        <w:t>późn</w:t>
      </w:r>
      <w:proofErr w:type="spellEnd"/>
      <w:r w:rsidRPr="003112D2">
        <w:rPr>
          <w:rFonts w:asciiTheme="minorHAnsi" w:eastAsiaTheme="minorHAnsi" w:hAnsiTheme="minorHAnsi" w:cstheme="minorBidi"/>
          <w:kern w:val="20"/>
          <w:sz w:val="22"/>
          <w:szCs w:val="22"/>
          <w:lang w:eastAsia="en-US"/>
        </w:rPr>
        <w:t xml:space="preserve">. zm.).   </w:t>
      </w:r>
    </w:p>
    <w:p w14:paraId="5E2EE4A6" w14:textId="77777777" w:rsidR="00625E5E" w:rsidRPr="003112D2" w:rsidRDefault="00625E5E" w:rsidP="00625E5E">
      <w:pPr>
        <w:pStyle w:val="HTML-wstpniesformatowany"/>
        <w:ind w:left="426"/>
        <w:jc w:val="both"/>
        <w:rPr>
          <w:rFonts w:asciiTheme="minorHAnsi" w:eastAsiaTheme="minorHAnsi" w:hAnsiTheme="minorHAnsi" w:cstheme="minorBidi"/>
          <w:kern w:val="20"/>
          <w:sz w:val="22"/>
          <w:szCs w:val="22"/>
          <w:lang w:eastAsia="en-US"/>
        </w:rPr>
      </w:pPr>
    </w:p>
    <w:p w14:paraId="4806A3B9" w14:textId="77777777" w:rsidR="00625E5E" w:rsidRPr="003112D2" w:rsidRDefault="00625E5E" w:rsidP="00625E5E">
      <w:pPr>
        <w:spacing w:after="360"/>
        <w:ind w:left="426"/>
        <w:jc w:val="both"/>
        <w:rPr>
          <w:kern w:val="20"/>
        </w:rPr>
      </w:pPr>
      <w:r w:rsidRPr="003112D2">
        <w:rPr>
          <w:kern w:val="20"/>
        </w:rPr>
        <w:t>Należy także wskazać kamienie milowe realizacji przedsięwzięcia oraz sposób wykazania potwierdzenia zgodności z celami środowiskowymi DNSH.</w:t>
      </w:r>
    </w:p>
    <w:p w14:paraId="41C3CDDE" w14:textId="417CD720" w:rsidR="00625E5E" w:rsidRPr="003112D2" w:rsidRDefault="00625E5E" w:rsidP="00625E5E">
      <w:pPr>
        <w:spacing w:after="360"/>
        <w:ind w:left="426"/>
        <w:jc w:val="both"/>
        <w:rPr>
          <w:kern w:val="20"/>
        </w:rPr>
      </w:pPr>
      <w:r w:rsidRPr="003112D2">
        <w:rPr>
          <w:kern w:val="20"/>
        </w:rPr>
        <w:t xml:space="preserve">Ponadto, </w:t>
      </w:r>
      <w:r w:rsidR="009F65BD" w:rsidRPr="003112D2">
        <w:rPr>
          <w:kern w:val="20"/>
        </w:rPr>
        <w:t xml:space="preserve">wnioskodawca </w:t>
      </w:r>
      <w:r w:rsidRPr="003112D2">
        <w:rPr>
          <w:kern w:val="20"/>
        </w:rPr>
        <w:t xml:space="preserve">powinien wypełnić załączniki nr </w:t>
      </w:r>
      <w:r w:rsidR="00D23706" w:rsidRPr="003112D2">
        <w:rPr>
          <w:kern w:val="20"/>
        </w:rPr>
        <w:t>3</w:t>
      </w:r>
      <w:r w:rsidRPr="003112D2">
        <w:rPr>
          <w:kern w:val="20"/>
        </w:rPr>
        <w:t xml:space="preserve">.1 - </w:t>
      </w:r>
      <w:r w:rsidR="00D23706" w:rsidRPr="003112D2">
        <w:rPr>
          <w:kern w:val="20"/>
        </w:rPr>
        <w:t>3</w:t>
      </w:r>
      <w:r w:rsidRPr="003112D2">
        <w:rPr>
          <w:kern w:val="20"/>
        </w:rPr>
        <w:t>.</w:t>
      </w:r>
      <w:r w:rsidR="00D23706" w:rsidRPr="003112D2">
        <w:rPr>
          <w:kern w:val="20"/>
        </w:rPr>
        <w:t>6</w:t>
      </w:r>
      <w:r w:rsidR="006537A2" w:rsidRPr="003112D2">
        <w:rPr>
          <w:kern w:val="20"/>
        </w:rPr>
        <w:t xml:space="preserve"> (o ile dotyczy)</w:t>
      </w:r>
      <w:r w:rsidRPr="003112D2">
        <w:rPr>
          <w:kern w:val="20"/>
        </w:rPr>
        <w:t>, wskazane w Załączniku nr 2 do Regulaminu konkursu.</w:t>
      </w:r>
    </w:p>
    <w:p w14:paraId="0FBD9970" w14:textId="77777777" w:rsidR="00D945F3" w:rsidRPr="003112D2" w:rsidRDefault="00D945F3" w:rsidP="00C11088">
      <w:pPr>
        <w:pStyle w:val="Nagwek2"/>
        <w:numPr>
          <w:ilvl w:val="0"/>
          <w:numId w:val="51"/>
        </w:numPr>
        <w:rPr>
          <w:color w:val="auto"/>
        </w:rPr>
      </w:pPr>
      <w:bookmarkStart w:id="24" w:name="_Toc136952680"/>
      <w:r w:rsidRPr="003112D2">
        <w:rPr>
          <w:color w:val="auto"/>
        </w:rPr>
        <w:t>Zgodność z zasadą zrównoważonego rozwoju</w:t>
      </w:r>
      <w:bookmarkEnd w:id="24"/>
    </w:p>
    <w:p w14:paraId="77B424B7" w14:textId="77777777" w:rsidR="00D945F3" w:rsidRPr="003112D2" w:rsidRDefault="00D945F3" w:rsidP="008C59BD">
      <w:pPr>
        <w:spacing w:after="0"/>
      </w:pPr>
    </w:p>
    <w:p w14:paraId="54F1882D" w14:textId="3815846D" w:rsidR="00D945F3" w:rsidRPr="003112D2" w:rsidRDefault="00D945F3" w:rsidP="00D945F3">
      <w:pPr>
        <w:pStyle w:val="HTML-wstpniesformatowany"/>
        <w:ind w:left="426"/>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Analiza powinna</w:t>
      </w:r>
      <w:r w:rsidR="0090666A" w:rsidRPr="003112D2">
        <w:rPr>
          <w:rFonts w:asciiTheme="minorHAnsi" w:eastAsiaTheme="minorHAnsi" w:hAnsiTheme="minorHAnsi" w:cstheme="minorBidi"/>
          <w:kern w:val="20"/>
          <w:sz w:val="22"/>
          <w:szCs w:val="22"/>
          <w:lang w:eastAsia="en-US"/>
        </w:rPr>
        <w:t xml:space="preserve"> wskazywać jak planowane przedsięwzięcie</w:t>
      </w:r>
      <w:r w:rsidRPr="003112D2">
        <w:rPr>
          <w:rFonts w:asciiTheme="minorHAnsi" w:eastAsiaTheme="minorHAnsi" w:hAnsiTheme="minorHAnsi" w:cstheme="minorBidi"/>
          <w:kern w:val="20"/>
          <w:sz w:val="22"/>
          <w:szCs w:val="22"/>
          <w:lang w:eastAsia="en-US"/>
        </w:rPr>
        <w:t xml:space="preserve"> wpisuj</w:t>
      </w:r>
      <w:r w:rsidR="00D74D58" w:rsidRPr="003112D2">
        <w:rPr>
          <w:rFonts w:asciiTheme="minorHAnsi" w:eastAsiaTheme="minorHAnsi" w:hAnsiTheme="minorHAnsi" w:cstheme="minorBidi"/>
          <w:kern w:val="20"/>
          <w:sz w:val="22"/>
          <w:szCs w:val="22"/>
          <w:lang w:eastAsia="en-US"/>
        </w:rPr>
        <w:t>e</w:t>
      </w:r>
      <w:r w:rsidRPr="003112D2">
        <w:rPr>
          <w:rFonts w:asciiTheme="minorHAnsi" w:eastAsiaTheme="minorHAnsi" w:hAnsiTheme="minorHAnsi" w:cstheme="minorBidi"/>
          <w:kern w:val="20"/>
          <w:sz w:val="22"/>
          <w:szCs w:val="22"/>
          <w:lang w:eastAsia="en-US"/>
        </w:rPr>
        <w:t xml:space="preserve"> się w zasadę zrównoważonego rozwoju – racjonalne wykorzystanie zasobów naturalnych.</w:t>
      </w:r>
    </w:p>
    <w:p w14:paraId="02B0F6B8" w14:textId="3FD8CD86" w:rsidR="006B333E" w:rsidRPr="003112D2" w:rsidRDefault="00D945F3" w:rsidP="006B333E">
      <w:pPr>
        <w:pStyle w:val="HTML-wstpniesformatowany"/>
        <w:ind w:left="426"/>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 xml:space="preserve">Analiza powinna odpowiadać/uwzględniać treści zapisane w Agendzie 2030 na rzecz zrównoważonego rozwoju w zakresie wykorzystania zasobów naturalnych oraz wytycznych </w:t>
      </w:r>
      <w:proofErr w:type="spellStart"/>
      <w:r w:rsidRPr="003112D2">
        <w:rPr>
          <w:rFonts w:asciiTheme="minorHAnsi" w:eastAsiaTheme="minorHAnsi" w:hAnsiTheme="minorHAnsi" w:cstheme="minorBidi"/>
          <w:kern w:val="20"/>
          <w:sz w:val="22"/>
          <w:szCs w:val="22"/>
          <w:lang w:eastAsia="en-US"/>
        </w:rPr>
        <w:t>InvestEU</w:t>
      </w:r>
      <w:proofErr w:type="spellEnd"/>
      <w:r w:rsidRPr="003112D2">
        <w:rPr>
          <w:rStyle w:val="Odwoanieprzypisudolnego"/>
          <w:rFonts w:asciiTheme="minorHAnsi" w:eastAsiaTheme="minorHAnsi" w:hAnsiTheme="minorHAnsi" w:cstheme="minorBidi"/>
          <w:kern w:val="20"/>
          <w:sz w:val="22"/>
          <w:szCs w:val="22"/>
          <w:lang w:eastAsia="en-US"/>
        </w:rPr>
        <w:footnoteReference w:id="6"/>
      </w:r>
      <w:r w:rsidRPr="003112D2">
        <w:rPr>
          <w:rFonts w:asciiTheme="minorHAnsi" w:eastAsiaTheme="minorHAnsi" w:hAnsiTheme="minorHAnsi" w:cstheme="minorBidi"/>
          <w:kern w:val="20"/>
          <w:sz w:val="22"/>
          <w:szCs w:val="22"/>
          <w:lang w:eastAsia="en-US"/>
        </w:rPr>
        <w:t>.</w:t>
      </w:r>
      <w:r w:rsidR="006B333E" w:rsidRPr="003112D2">
        <w:rPr>
          <w:rFonts w:ascii="Arial" w:hAnsi="Arial" w:cs="Arial"/>
        </w:rPr>
        <w:t xml:space="preserve"> </w:t>
      </w:r>
      <w:r w:rsidR="006B333E" w:rsidRPr="003112D2">
        <w:rPr>
          <w:rFonts w:asciiTheme="minorHAnsi" w:eastAsiaTheme="minorHAnsi" w:hAnsiTheme="minorHAnsi" w:cstheme="minorBidi"/>
          <w:kern w:val="20"/>
          <w:sz w:val="22"/>
          <w:szCs w:val="22"/>
          <w:lang w:eastAsia="en-US"/>
        </w:rPr>
        <w:t xml:space="preserve">W ramach prezentacji spełnienia przez projekt celów zrównoważonego rozwoju ONZ należy odnieść się do tych celów, które dotyczą danego rodzaju projektów. </w:t>
      </w:r>
    </w:p>
    <w:p w14:paraId="5101FE63" w14:textId="77777777" w:rsidR="00D945F3" w:rsidRPr="003112D2" w:rsidRDefault="00D945F3" w:rsidP="00D945F3">
      <w:pPr>
        <w:pStyle w:val="HTML-wstpniesformatowany"/>
        <w:ind w:left="426"/>
        <w:jc w:val="both"/>
        <w:rPr>
          <w:rFonts w:asciiTheme="minorHAnsi" w:eastAsiaTheme="minorHAnsi" w:hAnsiTheme="minorHAnsi" w:cstheme="minorBidi"/>
          <w:kern w:val="20"/>
          <w:sz w:val="22"/>
          <w:szCs w:val="22"/>
          <w:lang w:eastAsia="en-US"/>
        </w:rPr>
      </w:pPr>
    </w:p>
    <w:p w14:paraId="54890636" w14:textId="77777777" w:rsidR="00D945F3" w:rsidRPr="003112D2" w:rsidRDefault="00D945F3" w:rsidP="008C59BD">
      <w:pPr>
        <w:pStyle w:val="HTML-wstpniesformatowany"/>
        <w:spacing w:after="120"/>
        <w:ind w:left="426"/>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Zasada zrównoważonego rozwoju jest zachowana, jeżeli w ramach przedsięwzięcia zakłada się podejmowanie działań ukierunkowanych na:</w:t>
      </w:r>
    </w:p>
    <w:p w14:paraId="27C03530" w14:textId="77777777" w:rsidR="00D945F3" w:rsidRPr="003112D2" w:rsidRDefault="00D945F3" w:rsidP="00315675">
      <w:pPr>
        <w:pStyle w:val="HTML-wstpniesformatowany"/>
        <w:numPr>
          <w:ilvl w:val="0"/>
          <w:numId w:val="75"/>
        </w:numPr>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racjonalne gospodarowanie zasobami,</w:t>
      </w:r>
    </w:p>
    <w:p w14:paraId="13C537AD" w14:textId="77777777" w:rsidR="00D945F3" w:rsidRPr="003112D2" w:rsidRDefault="00D945F3" w:rsidP="00315675">
      <w:pPr>
        <w:pStyle w:val="HTML-wstpniesformatowany"/>
        <w:numPr>
          <w:ilvl w:val="0"/>
          <w:numId w:val="75"/>
        </w:numPr>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ograniczenie presji na środowisko,</w:t>
      </w:r>
    </w:p>
    <w:p w14:paraId="0FF59508" w14:textId="77777777" w:rsidR="00D945F3" w:rsidRPr="003112D2" w:rsidRDefault="00D945F3" w:rsidP="00315675">
      <w:pPr>
        <w:pStyle w:val="HTML-wstpniesformatowany"/>
        <w:numPr>
          <w:ilvl w:val="0"/>
          <w:numId w:val="75"/>
        </w:numPr>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uwzględnianie efektów środowiskowych w zarządzaniu,</w:t>
      </w:r>
    </w:p>
    <w:p w14:paraId="5B631BB0" w14:textId="550CDBD6" w:rsidR="00D945F3" w:rsidRPr="003112D2" w:rsidRDefault="00D945F3" w:rsidP="00315675">
      <w:pPr>
        <w:pStyle w:val="HTML-wstpniesformatowany"/>
        <w:numPr>
          <w:ilvl w:val="0"/>
          <w:numId w:val="75"/>
        </w:numPr>
        <w:spacing w:after="360"/>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lastRenderedPageBreak/>
        <w:t>podnoszenie świadomości ekologicznej społeczeństwa.</w:t>
      </w:r>
    </w:p>
    <w:p w14:paraId="6B065A8E" w14:textId="77777777" w:rsidR="005B4E4F" w:rsidRPr="003112D2" w:rsidRDefault="005B4E4F" w:rsidP="00315675">
      <w:pPr>
        <w:pStyle w:val="HTML-wstpniesformatowany"/>
        <w:spacing w:after="360"/>
        <w:jc w:val="both"/>
        <w:rPr>
          <w:rFonts w:asciiTheme="minorHAnsi" w:eastAsiaTheme="minorHAnsi" w:hAnsiTheme="minorHAnsi" w:cstheme="minorBidi"/>
          <w:kern w:val="20"/>
          <w:sz w:val="22"/>
          <w:szCs w:val="22"/>
          <w:lang w:eastAsia="en-US"/>
        </w:rPr>
      </w:pPr>
      <w:r w:rsidRPr="003112D2">
        <w:rPr>
          <w:rFonts w:asciiTheme="minorHAnsi" w:eastAsiaTheme="minorHAnsi" w:hAnsiTheme="minorHAnsi" w:cstheme="minorBidi"/>
          <w:kern w:val="20"/>
          <w:sz w:val="22"/>
          <w:szCs w:val="22"/>
          <w:lang w:eastAsia="en-US"/>
        </w:rPr>
        <w:t>Należy przedstawić również jak projekt wspiera działania respektujące standardy i priorytety klimatyczne UE (np. ustalenia Porozumienia Paryskiego).</w:t>
      </w:r>
    </w:p>
    <w:p w14:paraId="5BB0CB30" w14:textId="77777777" w:rsidR="00BD3DB9" w:rsidRPr="003112D2" w:rsidRDefault="00BD3DB9" w:rsidP="00C11088">
      <w:pPr>
        <w:pStyle w:val="Nagwek2"/>
        <w:numPr>
          <w:ilvl w:val="0"/>
          <w:numId w:val="51"/>
        </w:numPr>
        <w:rPr>
          <w:color w:val="auto"/>
        </w:rPr>
      </w:pPr>
      <w:bookmarkStart w:id="25" w:name="_Toc136952681"/>
      <w:r w:rsidRPr="003112D2">
        <w:rPr>
          <w:color w:val="auto"/>
        </w:rPr>
        <w:t>Informacja dot. występowania pomocy publicznej</w:t>
      </w:r>
      <w:bookmarkEnd w:id="25"/>
    </w:p>
    <w:p w14:paraId="286FD777" w14:textId="77777777" w:rsidR="00BD3DB9" w:rsidRPr="003112D2" w:rsidRDefault="00BD3DB9" w:rsidP="008C59BD"/>
    <w:p w14:paraId="65A9C0B4" w14:textId="77777777" w:rsidR="00E26A64" w:rsidRPr="003112D2" w:rsidRDefault="00E26A64" w:rsidP="00E26A64">
      <w:pPr>
        <w:spacing w:after="120"/>
        <w:ind w:left="426"/>
        <w:jc w:val="both"/>
        <w:rPr>
          <w:rFonts w:cstheme="minorHAnsi"/>
        </w:rPr>
      </w:pPr>
      <w:r w:rsidRPr="003112D2">
        <w:rPr>
          <w:rFonts w:cstheme="minorHAnsi"/>
        </w:rPr>
        <w:t>W świetle przepisów prawa unijnego, w gestii państw członkowskich pozostaje zapewnienie</w:t>
      </w:r>
      <w:r w:rsidRPr="003112D2">
        <w:rPr>
          <w:rFonts w:cstheme="minorHAnsi"/>
        </w:rPr>
        <w:br/>
        <w:t>świadczenia publicznego transportu pasażerskiego przez odpowiednio do tego przygotowane</w:t>
      </w:r>
      <w:r w:rsidRPr="003112D2">
        <w:rPr>
          <w:rFonts w:cstheme="minorHAnsi"/>
        </w:rPr>
        <w:br/>
        <w:t>przedsiębiorstwa publiczne lub prywatne. Zapewnienie usług w powyższym zakresie odbywa się</w:t>
      </w:r>
      <w:r w:rsidRPr="003112D2">
        <w:rPr>
          <w:rFonts w:cstheme="minorHAnsi"/>
        </w:rPr>
        <w:br/>
        <w:t>w Polsce w ramach świadczenia usług publicznych transportu zbiorowego.</w:t>
      </w:r>
    </w:p>
    <w:p w14:paraId="3C529661" w14:textId="77777777" w:rsidR="00E26A64" w:rsidRPr="003112D2" w:rsidRDefault="00E26A64" w:rsidP="00E26A64">
      <w:pPr>
        <w:spacing w:after="120"/>
        <w:ind w:left="426"/>
        <w:jc w:val="both"/>
        <w:rPr>
          <w:rFonts w:cstheme="minorHAnsi"/>
        </w:rPr>
      </w:pPr>
      <w:r w:rsidRPr="003112D2">
        <w:rPr>
          <w:rFonts w:cstheme="minorHAnsi"/>
        </w:rPr>
        <w:t xml:space="preserve">Podstawowym aktem normatywnym regulującym na poziomie unijnym kwestie obowiązku świadczenia usług publicznych w transporcie pasażerskim jest </w:t>
      </w:r>
      <w:r w:rsidRPr="003112D2">
        <w:rPr>
          <w:rFonts w:cstheme="minorHAnsi"/>
          <w:bCs/>
          <w:shd w:val="clear" w:color="auto" w:fill="FFFFFF"/>
        </w:rPr>
        <w:t>rozporządzenie nr 1370/2007 z dnia 23 października 2007 r. dotyczące usług publicznych w zakresie kolejowego i drogowego transportu pasażerskiego (dalej rozporządzenie 1370/2007).</w:t>
      </w:r>
      <w:r w:rsidRPr="003112D2">
        <w:rPr>
          <w:rFonts w:cstheme="minorHAnsi"/>
        </w:rPr>
        <w:t xml:space="preserve"> Podstawowym aktem w tym zakresie w systemie prawa krajowego jest ustawa o publicznym transporcie zbiorowym.</w:t>
      </w:r>
    </w:p>
    <w:p w14:paraId="475FCAAC" w14:textId="77777777" w:rsidR="00E26A64" w:rsidRPr="003112D2" w:rsidRDefault="00E26A64" w:rsidP="00E26A64">
      <w:pPr>
        <w:spacing w:after="120"/>
        <w:ind w:left="426"/>
        <w:jc w:val="both"/>
      </w:pPr>
      <w:r w:rsidRPr="003112D2">
        <w:rPr>
          <w:rFonts w:cstheme="minorHAnsi"/>
        </w:rPr>
        <w:t>Zobowiązanie z tytułu świadczenia usług publicznych to zobowiązanie</w:t>
      </w:r>
      <w:r w:rsidRPr="003112D2">
        <w:t>, którego dany operator nie</w:t>
      </w:r>
      <w:r w:rsidRPr="003112D2">
        <w:br/>
        <w:t xml:space="preserve">podjąłby się bez świadczenia wzajemnego, w szczególności </w:t>
      </w:r>
      <w:r w:rsidRPr="003112D2">
        <w:rPr>
          <w:u w:val="single"/>
        </w:rPr>
        <w:t>rekompensaty</w:t>
      </w:r>
      <w:r w:rsidRPr="003112D2">
        <w:t>, w takim samym</w:t>
      </w:r>
      <w:r w:rsidRPr="003112D2">
        <w:br/>
        <w:t>zakresie lub na takich samych zasadach, biorąc pod uwagę swój interes gospodarczy, a którego</w:t>
      </w:r>
      <w:r w:rsidRPr="003112D2">
        <w:br/>
        <w:t>podjęcie jest konieczne z punktu widzenia organów władzy publicznej ze względu na interes</w:t>
      </w:r>
      <w:r w:rsidRPr="003112D2">
        <w:br/>
        <w:t>publiczny.</w:t>
      </w:r>
    </w:p>
    <w:p w14:paraId="40EF149B" w14:textId="77777777" w:rsidR="00E26A64" w:rsidRPr="003112D2" w:rsidRDefault="00E26A64" w:rsidP="00E26A64">
      <w:pPr>
        <w:spacing w:after="120"/>
        <w:ind w:left="426"/>
        <w:jc w:val="both"/>
      </w:pPr>
      <w:r w:rsidRPr="003112D2">
        <w:t>Według prawa polskiego, obowiązek zapewnienia transportu zbiorowego w wymiarze lokalnym</w:t>
      </w:r>
      <w:r w:rsidRPr="003112D2">
        <w:br/>
        <w:t>ciąży na gminach i powiatach. Obowiązek zaspokajania zbiorowych potrzeb</w:t>
      </w:r>
      <w:r w:rsidRPr="003112D2">
        <w:br/>
        <w:t>mieszkańców w zakresie regionalnego transportu zbiorowego jest jednym z zadań własnych województwa. Obowiązek ten może być realizowany w różnych formach</w:t>
      </w:r>
      <w:r w:rsidRPr="003112D2">
        <w:br/>
        <w:t>(przewozy autobusowe, tramwajowe, kolejowe itd.). W celu zapewnienia realizacji tych zadań</w:t>
      </w:r>
      <w:r w:rsidRPr="003112D2">
        <w:br/>
        <w:t>jednostki samorządu terytorialnego mogą wykorzystać przyznaną przez przepisy krajowe i unijne</w:t>
      </w:r>
      <w:r w:rsidRPr="003112D2">
        <w:br/>
        <w:t>możliwość zobowiązania operatorów do świadczenia usług publicznych w transporcie zbiorowym.</w:t>
      </w:r>
    </w:p>
    <w:p w14:paraId="2EF65C45" w14:textId="77777777" w:rsidR="00E26A64" w:rsidRPr="003112D2" w:rsidRDefault="00E26A64" w:rsidP="00E26A64">
      <w:pPr>
        <w:spacing w:after="120"/>
        <w:ind w:left="426"/>
        <w:jc w:val="both"/>
      </w:pPr>
      <w:r w:rsidRPr="003112D2">
        <w:t>Jednostka samorządu terytorialnego realizuje swe zadania w formie samorządowego zakładu</w:t>
      </w:r>
      <w:r w:rsidRPr="003112D2">
        <w:br/>
        <w:t>budżetowego, poprzez kontrolowane przez jednostkę samorządu terytorialnego spółki prawa</w:t>
      </w:r>
      <w:r w:rsidRPr="003112D2">
        <w:br/>
        <w:t>handlowego (tzw. spółki komunalne), albo powierza ich wykonywanie przedsiębiorcom</w:t>
      </w:r>
      <w:r w:rsidRPr="003112D2">
        <w:br/>
        <w:t xml:space="preserve">zewnętrznym w drodze umowy cywilnoprawnej. Tym samym jednostka samorządu terytorialnego może powierzyć świadczenie usługi publicznej albo nałożyć obowiązek świadczenia usług publicznych (co jest bezpośrednio związane z realizacją zadań własnych jednostki samorządu terytorialnego) na ww. podmioty, tj. samorządowy zakład budżetowy, spółkę komunalną oraz przedsiębiorcę zewnętrznego, które to podmioty stają się wówczas operatorem. </w:t>
      </w:r>
    </w:p>
    <w:p w14:paraId="3C3E945D" w14:textId="77777777" w:rsidR="00E26A64" w:rsidRPr="003112D2" w:rsidRDefault="00E26A64" w:rsidP="00E26A64">
      <w:pPr>
        <w:spacing w:after="120"/>
        <w:ind w:left="426"/>
        <w:jc w:val="both"/>
      </w:pPr>
      <w:r w:rsidRPr="003112D2">
        <w:t>W zakresie dopuszczalnym przez przepisy prawa, jednostka samorządu terytorialnego może realizować swoje zadania również za pośrednictwem innej jednostki samorządu terytorialnego, na podstawie porozumienia, albo za pośrednictwem związku międzygminnego.</w:t>
      </w:r>
    </w:p>
    <w:p w14:paraId="47CE90B2" w14:textId="77777777" w:rsidR="00E26A64" w:rsidRPr="003112D2" w:rsidRDefault="00E26A64" w:rsidP="00E26A64">
      <w:pPr>
        <w:spacing w:after="120"/>
        <w:ind w:left="426"/>
        <w:jc w:val="both"/>
      </w:pPr>
      <w:r w:rsidRPr="003112D2">
        <w:t>Rekompensata z tytułu świadczenia usług publicznych podlega ocenie w świetle art. 107 ust. 1</w:t>
      </w:r>
      <w:r w:rsidRPr="003112D2">
        <w:br/>
        <w:t>TFUE, ponieważ operatorzy otrzymujący dofinansowanie prowadzą działalność o charakterze</w:t>
      </w:r>
      <w:r w:rsidRPr="003112D2">
        <w:br/>
      </w:r>
      <w:r w:rsidRPr="003112D2">
        <w:lastRenderedPageBreak/>
        <w:t xml:space="preserve">gospodarczym, w związku z czym są przedsiębiorcami w rozumieniu przyjętym w orzecznictwie TSUE. </w:t>
      </w:r>
    </w:p>
    <w:p w14:paraId="2937D505" w14:textId="77777777" w:rsidR="00E26A64" w:rsidRPr="003112D2" w:rsidRDefault="00E26A64" w:rsidP="00E26A64">
      <w:pPr>
        <w:spacing w:after="120"/>
        <w:ind w:left="426"/>
        <w:jc w:val="both"/>
        <w:rPr>
          <w:u w:val="single"/>
        </w:rPr>
      </w:pPr>
      <w:r w:rsidRPr="003112D2">
        <w:t>Składniki majątkowe dofinansowane z programów operacyjnych stanowią część rekompensaty. Oznacza to, że kwalifikacja prawna dofinansowania ze środków funduszy UE w zakresie przepisów o pomocy publicznej powinna być dokonywana przez pryzmat oceny charakteru rekompensaty przekazywanej operatorowi przez organizatora publicznego transportu zbiorowego.</w:t>
      </w:r>
    </w:p>
    <w:p w14:paraId="5DF3D809" w14:textId="77777777" w:rsidR="00E26A64" w:rsidRPr="003112D2" w:rsidRDefault="00E26A64" w:rsidP="00E26A64">
      <w:pPr>
        <w:spacing w:after="120"/>
        <w:ind w:left="426"/>
        <w:jc w:val="both"/>
        <w:rPr>
          <w:u w:val="single"/>
        </w:rPr>
      </w:pPr>
      <w:r w:rsidRPr="003112D2">
        <w:rPr>
          <w:u w:val="single"/>
        </w:rPr>
        <w:t>Brak pomocy publicznej w rozumieniu art. 107 ust. 1 TFUE</w:t>
      </w:r>
    </w:p>
    <w:p w14:paraId="6EB3CC73" w14:textId="77777777" w:rsidR="00E26A64" w:rsidRPr="003112D2" w:rsidRDefault="00E26A64" w:rsidP="00E26A64">
      <w:pPr>
        <w:spacing w:after="120"/>
        <w:ind w:left="426"/>
        <w:jc w:val="both"/>
      </w:pPr>
      <w:r w:rsidRPr="003112D2">
        <w:t>Kryteriami pozwalającymi ustalić, czy dane wsparcie przyznane w związku ze świadczeniem usług</w:t>
      </w:r>
      <w:r w:rsidRPr="003112D2">
        <w:br/>
        <w:t>publicznych stanowi pomoc publiczną w rozumieniu art. 107 ust. 1 TFUE, są cztery kryteria</w:t>
      </w:r>
      <w:r w:rsidRPr="003112D2">
        <w:br/>
        <w:t>wskazane w wyroku Trybunału Sprawiedliwości w sprawie C-280/006. Łączne spełnienie tych</w:t>
      </w:r>
      <w:r w:rsidRPr="003112D2">
        <w:br/>
        <w:t xml:space="preserve">kryteriów powoduje, że rekompensata z tytułu świadczenia usług publicznych nie stanowi pomocy publicznej. </w:t>
      </w:r>
    </w:p>
    <w:p w14:paraId="02B7494C" w14:textId="77777777" w:rsidR="00E26A64" w:rsidRPr="003112D2" w:rsidRDefault="00E26A64" w:rsidP="00E26A64">
      <w:pPr>
        <w:spacing w:after="120"/>
        <w:ind w:left="426"/>
        <w:jc w:val="both"/>
      </w:pPr>
      <w:r w:rsidRPr="003112D2">
        <w:t>Treść tych kryteriów jest następująca:</w:t>
      </w:r>
    </w:p>
    <w:p w14:paraId="4C83A347" w14:textId="77777777" w:rsidR="00E26A64" w:rsidRPr="003112D2" w:rsidRDefault="00E26A64" w:rsidP="00E26A64">
      <w:pPr>
        <w:pStyle w:val="Akapitzlist"/>
        <w:numPr>
          <w:ilvl w:val="0"/>
          <w:numId w:val="69"/>
        </w:numPr>
        <w:spacing w:after="120"/>
        <w:ind w:left="851"/>
        <w:jc w:val="both"/>
      </w:pPr>
      <w:r w:rsidRPr="003112D2">
        <w:t>przedsiębiorstwo jest zobowiązane do świadczenia usługi publicznej i ją wykonuje, a jednocześnie usługa ta jest jasno zdefiniowana;</w:t>
      </w:r>
    </w:p>
    <w:p w14:paraId="711BBD40" w14:textId="77777777" w:rsidR="00E26A64" w:rsidRPr="003112D2" w:rsidRDefault="00E26A64" w:rsidP="00E26A64">
      <w:pPr>
        <w:pStyle w:val="Akapitzlist"/>
        <w:numPr>
          <w:ilvl w:val="0"/>
          <w:numId w:val="69"/>
        </w:numPr>
        <w:spacing w:after="120"/>
        <w:ind w:left="851"/>
        <w:jc w:val="both"/>
      </w:pPr>
      <w:r w:rsidRPr="003112D2">
        <w:t>w celu uniknięcia przyznania korzyści ekonomicznej, która może faworyzować wybrane</w:t>
      </w:r>
      <w:r w:rsidRPr="003112D2">
        <w:br/>
        <w:t>przedsiębiorstwo w stosunku do konkurencji, parametry, na podstawie których ustala się</w:t>
      </w:r>
      <w:r w:rsidRPr="003112D2">
        <w:br/>
        <w:t>rekompensatę, powinny być określone obiektywnie i transparentnie zanim nastąpi nałożenie</w:t>
      </w:r>
      <w:r w:rsidRPr="003112D2">
        <w:br/>
        <w:t>zobowiązania do świadczenia usług publicznych;</w:t>
      </w:r>
    </w:p>
    <w:p w14:paraId="503824A7" w14:textId="77777777" w:rsidR="00E26A64" w:rsidRPr="003112D2" w:rsidRDefault="00E26A64" w:rsidP="00E26A64">
      <w:pPr>
        <w:pStyle w:val="Akapitzlist"/>
        <w:numPr>
          <w:ilvl w:val="0"/>
          <w:numId w:val="69"/>
        </w:numPr>
        <w:spacing w:after="120"/>
        <w:ind w:left="851"/>
        <w:jc w:val="both"/>
      </w:pPr>
      <w:r w:rsidRPr="003112D2">
        <w:t>rekompensata nie może przekroczyć kosztów poniesionych w związku z realizacją usługi</w:t>
      </w:r>
      <w:r w:rsidRPr="003112D2">
        <w:br/>
        <w:t>publicznej z uwzględnieniem wpływów z tej usługi oraz rozsądnego zysku;</w:t>
      </w:r>
    </w:p>
    <w:p w14:paraId="14E303CC" w14:textId="77777777" w:rsidR="00E26A64" w:rsidRPr="003112D2" w:rsidRDefault="00E26A64" w:rsidP="00E26A64">
      <w:pPr>
        <w:pStyle w:val="Akapitzlist"/>
        <w:numPr>
          <w:ilvl w:val="0"/>
          <w:numId w:val="69"/>
        </w:numPr>
        <w:spacing w:after="120"/>
        <w:ind w:left="851"/>
        <w:jc w:val="both"/>
      </w:pPr>
      <w:r w:rsidRPr="003112D2">
        <w:t>jeżeli przedsiębiorstwo nie zostało wybrane zgodnie z procedurami zamówień publicznych</w:t>
      </w:r>
      <w:r w:rsidRPr="003112D2">
        <w:br/>
        <w:t>gwarantującymi, że usługa będzie zapewniona po najmniejszym koszcie dla społeczności, rekompensata nie może przekraczać kosztów, jakie poniosłoby typowe przedsiębiorstwo, dobrze zarządzane i odpowiednio wyposażone do realizacji usługi publicznej, z uwzględnieniem wpływów generowanych przez usługę i rozsądnego zysku.</w:t>
      </w:r>
    </w:p>
    <w:p w14:paraId="64155684" w14:textId="77777777" w:rsidR="00E26A64" w:rsidRPr="003112D2" w:rsidRDefault="00E26A64" w:rsidP="00E26A64">
      <w:pPr>
        <w:spacing w:after="120"/>
        <w:ind w:left="426"/>
        <w:jc w:val="both"/>
      </w:pPr>
      <w:r w:rsidRPr="003112D2">
        <w:t>W odniesieniu do kryterium przywołanego w lit. d, należy zauważyć, że wybór operatora w</w:t>
      </w:r>
      <w:r w:rsidRPr="003112D2">
        <w:br/>
        <w:t>drodze przetargu, zgodnie z wszelkimi zasadami dotyczącymi udzielania zamówień publicznych, przy spełnieniu pozostałych kryteriów wskazanych w wyroku Trybunału Sprawiedliwości w sprawie C-280/00, gwarantuje, co do zasady, że przepływ środków publicznych nie ma charakteru</w:t>
      </w:r>
      <w:r w:rsidRPr="003112D2">
        <w:br/>
        <w:t>pomocy publicznej, ponieważ operator nie uzyskuje korzyści (na zasadach odbiegających od</w:t>
      </w:r>
      <w:r w:rsidRPr="003112D2">
        <w:br/>
        <w:t xml:space="preserve">rynkowych), w rozumieniu art. 107 ust. 1 TFUE. </w:t>
      </w:r>
    </w:p>
    <w:p w14:paraId="21A4E2A4" w14:textId="77777777" w:rsidR="00E26A64" w:rsidRPr="003112D2" w:rsidRDefault="00E26A64" w:rsidP="00E26A64">
      <w:pPr>
        <w:spacing w:after="120"/>
        <w:ind w:left="426"/>
        <w:jc w:val="both"/>
      </w:pPr>
      <w:r w:rsidRPr="003112D2">
        <w:t>Zastosowanie przetargowej procedury wyboru operatora nie wyklucza wystąpienia pomocy publicznej, jeśli nie stwarza ona warunków do odpowiednio otwartej i rzeczywistej konkurencji, np. w przetargu została złożona tylko jedna oferta lub tylko jeden podmiot dysponuje infrastrukturą niezbędną do świadczenia usług.</w:t>
      </w:r>
    </w:p>
    <w:p w14:paraId="4D977B81" w14:textId="77777777" w:rsidR="00E26A64" w:rsidRPr="003112D2" w:rsidRDefault="00E26A64" w:rsidP="00E26A64">
      <w:pPr>
        <w:spacing w:after="120"/>
        <w:ind w:left="426"/>
        <w:jc w:val="both"/>
      </w:pPr>
      <w:r w:rsidRPr="003112D2">
        <w:t>Dofinansowanie ze środków funduszy UE w formie rekompensaty z tytułu świadczenia usług</w:t>
      </w:r>
      <w:r w:rsidRPr="003112D2">
        <w:br/>
        <w:t xml:space="preserve">publicznych może spełniać kryteria zawarte w orzeczeniu TSUE w sprawie </w:t>
      </w:r>
      <w:proofErr w:type="spellStart"/>
      <w:r w:rsidRPr="003112D2">
        <w:t>Altmark</w:t>
      </w:r>
      <w:proofErr w:type="spellEnd"/>
      <w:r w:rsidRPr="003112D2">
        <w:t xml:space="preserve"> tylko</w:t>
      </w:r>
      <w:r w:rsidRPr="003112D2">
        <w:br/>
        <w:t>i wyłącznie, jeśli było uwzględnione w momencie powierzania świadczenia usług (wyboru</w:t>
      </w:r>
      <w:r w:rsidRPr="003112D2">
        <w:br/>
        <w:t>operatora), tj. np. w przypadku trybów powierzenia świadczenia usług, w których sporządzana jest specyfikacja istotnych warunków zamówienia, w specyfikacji było wskazane, że elementem</w:t>
      </w:r>
      <w:r w:rsidRPr="003112D2">
        <w:br/>
        <w:t>wynagrodzenia będzie dofinansowanie ze środków funduszy UE bądź możliwe jest wykazanie, że</w:t>
      </w:r>
      <w:r w:rsidRPr="003112D2">
        <w:br/>
        <w:t>dofinansowanie ze środków funduszy UE zastąpi część wynagrodzenia obliczonego zgodnie</w:t>
      </w:r>
      <w:r w:rsidRPr="003112D2">
        <w:br/>
      </w:r>
      <w:r w:rsidRPr="003112D2">
        <w:lastRenderedPageBreak/>
        <w:t>z postanowieniami specyfikacji, które pierwotnie miało pochodzić z innych źródeł. W przypadku</w:t>
      </w:r>
      <w:r w:rsidRPr="003112D2">
        <w:br/>
        <w:t>powierzenia świadczenia usług podmiotowi wewnętrznemu, powyższe uwagi, dotyczące</w:t>
      </w:r>
      <w:r w:rsidRPr="003112D2">
        <w:br/>
        <w:t>specyfikacji istotnych warunków zamówienia, należy odnosić analogicznie do treści pierwotnego</w:t>
      </w:r>
      <w:r w:rsidRPr="003112D2">
        <w:br/>
        <w:t>aktu powierzenia.</w:t>
      </w:r>
    </w:p>
    <w:p w14:paraId="4769DA1B" w14:textId="77777777" w:rsidR="00E26A64" w:rsidRPr="003112D2" w:rsidRDefault="00E26A64" w:rsidP="00E26A64">
      <w:pPr>
        <w:spacing w:after="120"/>
        <w:ind w:left="426"/>
        <w:jc w:val="both"/>
      </w:pPr>
      <w:r w:rsidRPr="003112D2">
        <w:t xml:space="preserve">Spełnienie warunków określonych przez TSUE w orzeczeniu w sprawie </w:t>
      </w:r>
      <w:proofErr w:type="spellStart"/>
      <w:r w:rsidRPr="003112D2">
        <w:t>Altmark</w:t>
      </w:r>
      <w:proofErr w:type="spellEnd"/>
      <w:r w:rsidRPr="003112D2">
        <w:t xml:space="preserve"> nie zwalnia</w:t>
      </w:r>
      <w:r w:rsidRPr="003112D2">
        <w:br/>
        <w:t>z obowiązku przestrzegania rozporządzenia nr 1370/2007 (a także ustawy o publicznym</w:t>
      </w:r>
      <w:r w:rsidRPr="003112D2">
        <w:br/>
        <w:t>transporcie zbiorowym). Należy bowiem pamiętać, że rozporządzenie to ma charakter</w:t>
      </w:r>
      <w:r w:rsidRPr="003112D2">
        <w:br/>
        <w:t>powszechnie obowiązującego aktu prawnego.</w:t>
      </w:r>
    </w:p>
    <w:p w14:paraId="0E9BE5C0" w14:textId="77777777" w:rsidR="00B15919" w:rsidRPr="003112D2" w:rsidRDefault="00B15919" w:rsidP="00E26A64">
      <w:pPr>
        <w:ind w:left="426"/>
        <w:jc w:val="both"/>
        <w:rPr>
          <w:b/>
        </w:rPr>
      </w:pPr>
    </w:p>
    <w:p w14:paraId="42E11A45" w14:textId="74FC5027" w:rsidR="00E26A64" w:rsidRPr="003112D2" w:rsidRDefault="00E26A64" w:rsidP="00E26A64">
      <w:pPr>
        <w:ind w:left="426"/>
        <w:jc w:val="both"/>
      </w:pPr>
      <w:r w:rsidRPr="003112D2">
        <w:rPr>
          <w:b/>
        </w:rPr>
        <w:t>Pomoc zgodna z rynkiem wewnętrznym i niepodlegająca notyfikacji</w:t>
      </w:r>
    </w:p>
    <w:p w14:paraId="50B9A873" w14:textId="77777777" w:rsidR="00E26A64" w:rsidRPr="003112D2" w:rsidRDefault="00E26A64" w:rsidP="00E26A64">
      <w:pPr>
        <w:spacing w:after="120"/>
        <w:ind w:left="426"/>
        <w:jc w:val="both"/>
      </w:pPr>
      <w:r w:rsidRPr="003112D2">
        <w:t xml:space="preserve">W sytuacji, gdy w danym przypadku kryteria określone w orzeczeniu TSUE w sprawie </w:t>
      </w:r>
      <w:proofErr w:type="spellStart"/>
      <w:r w:rsidRPr="003112D2">
        <w:t>Altmark</w:t>
      </w:r>
      <w:proofErr w:type="spellEnd"/>
      <w:r w:rsidRPr="003112D2">
        <w:br/>
        <w:t>nie zostały spełnione rekompensata z tytułu świadczenia usług publicznych w transporcie stanowi</w:t>
      </w:r>
      <w:r w:rsidRPr="003112D2">
        <w:br/>
        <w:t>pomoc publiczną w rozumieniu art. 107 ust. 1 TFUE.</w:t>
      </w:r>
    </w:p>
    <w:p w14:paraId="7D802661" w14:textId="77777777" w:rsidR="00E26A64" w:rsidRPr="003112D2" w:rsidRDefault="00E26A64" w:rsidP="00E26A64">
      <w:pPr>
        <w:spacing w:after="120"/>
        <w:ind w:left="426"/>
        <w:jc w:val="both"/>
      </w:pPr>
      <w:r w:rsidRPr="003112D2">
        <w:t>W odniesieniu do operatorów, którym zostało powierzone świadczenie usług publicznych:</w:t>
      </w:r>
    </w:p>
    <w:p w14:paraId="384D58F1" w14:textId="77777777" w:rsidR="00E26A64" w:rsidRPr="003112D2" w:rsidRDefault="00E26A64" w:rsidP="00E26A64">
      <w:pPr>
        <w:pStyle w:val="Akapitzlist"/>
        <w:numPr>
          <w:ilvl w:val="0"/>
          <w:numId w:val="70"/>
        </w:numPr>
        <w:spacing w:after="120"/>
        <w:ind w:left="851"/>
        <w:jc w:val="both"/>
      </w:pPr>
      <w:r w:rsidRPr="003112D2">
        <w:t>w sposób władczy (samorządowy zakład budżetowy, spółka komunalna spełniająca kryteria</w:t>
      </w:r>
      <w:r w:rsidRPr="003112D2">
        <w:br/>
        <w:t>podmiotu wewnętrznego),</w:t>
      </w:r>
    </w:p>
    <w:p w14:paraId="0A59D937" w14:textId="77777777" w:rsidR="00E26A64" w:rsidRPr="003112D2" w:rsidRDefault="00E26A64" w:rsidP="00E26A64">
      <w:pPr>
        <w:pStyle w:val="Akapitzlist"/>
        <w:numPr>
          <w:ilvl w:val="0"/>
          <w:numId w:val="70"/>
        </w:numPr>
        <w:spacing w:after="120"/>
        <w:ind w:left="851"/>
        <w:jc w:val="both"/>
      </w:pPr>
      <w:r w:rsidRPr="003112D2">
        <w:t>a także w drodze procedury konkurencyjnej innej niż wymieniona powyżej</w:t>
      </w:r>
      <w:r w:rsidRPr="003112D2">
        <w:br/>
        <w:t>należy przyjąć, że środki przekazywane przez jednostkę samorządu terytorialnego operatorom w formie rekompensaty stanowią pomocą publiczną w rozumieniu art. 107 ust. 1 TFUE.</w:t>
      </w:r>
    </w:p>
    <w:p w14:paraId="33EEC748" w14:textId="77777777" w:rsidR="00E26A64" w:rsidRPr="003112D2" w:rsidRDefault="00E26A64" w:rsidP="00E26A64">
      <w:pPr>
        <w:ind w:left="426"/>
        <w:jc w:val="both"/>
      </w:pPr>
      <w:r w:rsidRPr="003112D2">
        <w:t>Rekompensata z tytułu świadczenia usług publicznych w transporcie stanowi pomoc publiczną</w:t>
      </w:r>
      <w:r w:rsidRPr="003112D2">
        <w:br/>
        <w:t>zgodną z zasadami rynku wewnętrznego na podstawie art. 93 TFUE i nie podlega obowiązkowi</w:t>
      </w:r>
      <w:r w:rsidRPr="003112D2">
        <w:br/>
        <w:t>notyfikacji, o ile przy jej udzielaniu zachowane zostały wszystkie zasady wynikające z rozporządzenia nr 1370/2007.</w:t>
      </w:r>
    </w:p>
    <w:p w14:paraId="6A5FE6C0" w14:textId="77777777" w:rsidR="00E26A64" w:rsidRPr="003112D2" w:rsidRDefault="00E26A64" w:rsidP="00E26A64">
      <w:pPr>
        <w:ind w:left="426"/>
        <w:jc w:val="both"/>
        <w:rPr>
          <w:b/>
        </w:rPr>
      </w:pPr>
      <w:r w:rsidRPr="003112D2">
        <w:rPr>
          <w:b/>
        </w:rPr>
        <w:t>Mając powyższe na uwadze, we wniosku o objęcie przedsięwzięcia wsparciem oraz Studium Wykonalności należy zawrzeć zastępujący zakres informacji w odniesieniu do zawartych lub planowanych do zawarcia umów przewozowych:</w:t>
      </w:r>
    </w:p>
    <w:p w14:paraId="7C244C88" w14:textId="1E03B871" w:rsidR="00E26A64" w:rsidRPr="003112D2" w:rsidRDefault="00E26A64" w:rsidP="00315675">
      <w:pPr>
        <w:pStyle w:val="Akapitzlist"/>
        <w:numPr>
          <w:ilvl w:val="0"/>
          <w:numId w:val="74"/>
        </w:numPr>
        <w:jc w:val="both"/>
      </w:pPr>
      <w:r w:rsidRPr="003112D2">
        <w:t>informacja nt. zawartej lub planowanej do zawarcia umowy przewozowej – tryb zawarcia, okres obowiązywania, podstawa prawna,</w:t>
      </w:r>
    </w:p>
    <w:p w14:paraId="1798F61E" w14:textId="539868CA" w:rsidR="00E26A64" w:rsidRPr="003112D2" w:rsidRDefault="00E26A64" w:rsidP="00315675">
      <w:pPr>
        <w:pStyle w:val="Akapitzlist"/>
        <w:numPr>
          <w:ilvl w:val="0"/>
          <w:numId w:val="74"/>
        </w:numPr>
        <w:jc w:val="both"/>
      </w:pPr>
      <w:r w:rsidRPr="003112D2">
        <w:t>informacja, kto będzie właścicielem taboru / infrastruktury ładowania lub tankowania za zakończeniu realizacji przedsięwzięcia,</w:t>
      </w:r>
    </w:p>
    <w:p w14:paraId="6226A859" w14:textId="625CC404" w:rsidR="00E26A64" w:rsidRPr="003112D2" w:rsidRDefault="00E26A64" w:rsidP="00315675">
      <w:pPr>
        <w:pStyle w:val="Akapitzlist"/>
        <w:numPr>
          <w:ilvl w:val="0"/>
          <w:numId w:val="74"/>
        </w:numPr>
        <w:jc w:val="both"/>
      </w:pPr>
      <w:r w:rsidRPr="003112D2">
        <w:t>informacja, na jakich zasadach ww. tabor / infrastruktura będą udostępniane przewoźnikowi (jeżeli dotyczy),</w:t>
      </w:r>
    </w:p>
    <w:p w14:paraId="00155B2B" w14:textId="33A3C0E2" w:rsidR="00E26A64" w:rsidRPr="003112D2" w:rsidRDefault="00E26A64" w:rsidP="00315675">
      <w:pPr>
        <w:pStyle w:val="Akapitzlist"/>
        <w:numPr>
          <w:ilvl w:val="0"/>
          <w:numId w:val="74"/>
        </w:numPr>
        <w:jc w:val="both"/>
      </w:pPr>
      <w:r w:rsidRPr="003112D2">
        <w:t>informacja nt. podmiotu, z którym zawarta jest umowa przewozowa – w przypadku spółek samorządowych informacja nt. struktury własnościowej, posiadania statusu podmiotu wewnętrznego w rozumieniu rozporządzenia 1370/2007,</w:t>
      </w:r>
    </w:p>
    <w:p w14:paraId="4E572543" w14:textId="545A8386" w:rsidR="00E26A64" w:rsidRPr="003112D2" w:rsidRDefault="00E26A64" w:rsidP="00315675">
      <w:pPr>
        <w:pStyle w:val="Akapitzlist"/>
        <w:numPr>
          <w:ilvl w:val="0"/>
          <w:numId w:val="74"/>
        </w:numPr>
        <w:jc w:val="both"/>
      </w:pPr>
      <w:r w:rsidRPr="003112D2">
        <w:t>informacja nt. metodologii liczenia rekompensaty związanej ze świadczeniem usług przewozowych,</w:t>
      </w:r>
    </w:p>
    <w:p w14:paraId="003D4E5E" w14:textId="43D41E34" w:rsidR="00E26A64" w:rsidRPr="003112D2" w:rsidRDefault="00E26A64" w:rsidP="00315675">
      <w:pPr>
        <w:pStyle w:val="Akapitzlist"/>
        <w:numPr>
          <w:ilvl w:val="0"/>
          <w:numId w:val="74"/>
        </w:numPr>
        <w:jc w:val="both"/>
      </w:pPr>
      <w:r w:rsidRPr="003112D2">
        <w:t>informacja nt. zasad monitorowania rekompensaty oraz rozwiązań w zakresie unikania nadmiernej rekompensaty,</w:t>
      </w:r>
    </w:p>
    <w:p w14:paraId="6CD5858A" w14:textId="6D82B1DA" w:rsidR="009A70DC" w:rsidRPr="003112D2" w:rsidRDefault="00E26A64" w:rsidP="00315675">
      <w:pPr>
        <w:pStyle w:val="Akapitzlist"/>
        <w:numPr>
          <w:ilvl w:val="0"/>
          <w:numId w:val="74"/>
        </w:numPr>
        <w:spacing w:after="360"/>
        <w:jc w:val="both"/>
      </w:pPr>
      <w:r w:rsidRPr="003112D2">
        <w:t>informacja czy przewoźnik prowadzi odrębną ewidencję dla działalności związanej z realizacją usługi oraz dla pozostałej działalności gospodarczej</w:t>
      </w:r>
      <w:r w:rsidR="009A70DC" w:rsidRPr="003112D2">
        <w:t>,</w:t>
      </w:r>
    </w:p>
    <w:p w14:paraId="39952427" w14:textId="0C630BD1" w:rsidR="009A70DC" w:rsidRPr="003112D2" w:rsidRDefault="009A70DC" w:rsidP="009A70DC">
      <w:pPr>
        <w:pStyle w:val="Akapitzlist"/>
        <w:numPr>
          <w:ilvl w:val="0"/>
          <w:numId w:val="74"/>
        </w:numPr>
      </w:pPr>
      <w:r w:rsidRPr="003112D2">
        <w:lastRenderedPageBreak/>
        <w:t>planowane wykorzystanie dofinansowanego taboru / infrastruktury po zakończeniu obowiązywania aktualnej umowy przewozowej</w:t>
      </w:r>
      <w:r w:rsidR="00961707" w:rsidRPr="003112D2">
        <w:t xml:space="preserve">. </w:t>
      </w:r>
    </w:p>
    <w:p w14:paraId="0BA8B8C0" w14:textId="29ECA898" w:rsidR="00CD1E78" w:rsidRPr="003112D2" w:rsidRDefault="00CD1E78" w:rsidP="00315675">
      <w:pPr>
        <w:pStyle w:val="Akapitzlist"/>
        <w:spacing w:after="360"/>
        <w:ind w:left="786"/>
        <w:jc w:val="both"/>
      </w:pPr>
    </w:p>
    <w:sectPr w:rsidR="00CD1E78" w:rsidRPr="003112D2" w:rsidSect="000B2861">
      <w:headerReference w:type="default" r:id="rId13"/>
      <w:footerReference w:type="default" r:id="rId1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BB7FC" w16cid:durableId="2A78473F"/>
  <w16cid:commentId w16cid:paraId="661152CB" w16cid:durableId="2A784B91"/>
  <w16cid:commentId w16cid:paraId="6F628153" w16cid:durableId="2A7847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CD4F4" w14:textId="77777777" w:rsidR="00B701FD" w:rsidRDefault="00B701FD" w:rsidP="007B5C39">
      <w:pPr>
        <w:spacing w:after="0" w:line="240" w:lineRule="auto"/>
      </w:pPr>
      <w:r>
        <w:separator/>
      </w:r>
    </w:p>
  </w:endnote>
  <w:endnote w:type="continuationSeparator" w:id="0">
    <w:p w14:paraId="17E63FAB" w14:textId="77777777" w:rsidR="00B701FD" w:rsidRDefault="00B701FD" w:rsidP="007B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35450"/>
      <w:docPartObj>
        <w:docPartGallery w:val="Page Numbers (Bottom of Page)"/>
        <w:docPartUnique/>
      </w:docPartObj>
    </w:sdtPr>
    <w:sdtEndPr/>
    <w:sdtContent>
      <w:p w14:paraId="43F7109E" w14:textId="0E5A81F7" w:rsidR="00601B9F" w:rsidRDefault="00601B9F">
        <w:pPr>
          <w:pStyle w:val="Stopka"/>
          <w:jc w:val="center"/>
        </w:pPr>
        <w:r>
          <w:fldChar w:fldCharType="begin"/>
        </w:r>
        <w:r>
          <w:instrText>PAGE   \* MERGEFORMAT</w:instrText>
        </w:r>
        <w:r>
          <w:fldChar w:fldCharType="separate"/>
        </w:r>
        <w:r w:rsidR="00887E62">
          <w:rPr>
            <w:noProof/>
          </w:rPr>
          <w:t>17</w:t>
        </w:r>
        <w:r>
          <w:fldChar w:fldCharType="end"/>
        </w:r>
      </w:p>
    </w:sdtContent>
  </w:sdt>
  <w:p w14:paraId="784567A5" w14:textId="77777777" w:rsidR="00601B9F" w:rsidRDefault="00601B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C9045" w14:textId="77777777" w:rsidR="00B701FD" w:rsidRDefault="00B701FD" w:rsidP="007B5C39">
      <w:pPr>
        <w:spacing w:after="0" w:line="240" w:lineRule="auto"/>
      </w:pPr>
      <w:r>
        <w:separator/>
      </w:r>
    </w:p>
  </w:footnote>
  <w:footnote w:type="continuationSeparator" w:id="0">
    <w:p w14:paraId="14AB5ECA" w14:textId="77777777" w:rsidR="00B701FD" w:rsidRDefault="00B701FD" w:rsidP="007B5C39">
      <w:pPr>
        <w:spacing w:after="0" w:line="240" w:lineRule="auto"/>
      </w:pPr>
      <w:r>
        <w:continuationSeparator/>
      </w:r>
    </w:p>
  </w:footnote>
  <w:footnote w:id="1">
    <w:p w14:paraId="71421411" w14:textId="77777777" w:rsidR="00601B9F" w:rsidRDefault="00601B9F" w:rsidP="008D669C">
      <w:pPr>
        <w:pStyle w:val="Tekstprzypisudolnego"/>
      </w:pPr>
      <w:r>
        <w:rPr>
          <w:rStyle w:val="Odwoanieprzypisudolnego"/>
        </w:rPr>
        <w:footnoteRef/>
      </w:r>
      <w:r>
        <w:t xml:space="preserve"> Pod warunkiem, że są częścią przedsięwzięcia zakupowego zgłoszonego do bieżącego konkursu.</w:t>
      </w:r>
    </w:p>
  </w:footnote>
  <w:footnote w:id="2">
    <w:p w14:paraId="0F08BA34" w14:textId="77777777" w:rsidR="00601B9F" w:rsidRDefault="00601B9F">
      <w:pPr>
        <w:pStyle w:val="Tekstprzypisudolnego"/>
      </w:pPr>
      <w:r>
        <w:rPr>
          <w:rStyle w:val="Odwoanieprzypisudolnego"/>
        </w:rPr>
        <w:footnoteRef/>
      </w:r>
      <w:r>
        <w:t xml:space="preserve"> Jeżeli po realizacji przedsięwzięcia zmieni się długość trasy, należy podać długość po realizacji przedsięwzięcia.</w:t>
      </w:r>
    </w:p>
  </w:footnote>
  <w:footnote w:id="3">
    <w:p w14:paraId="402C7F59" w14:textId="24723541" w:rsidR="00CB175B" w:rsidRDefault="00CB175B">
      <w:pPr>
        <w:pStyle w:val="Tekstprzypisudolnego"/>
      </w:pPr>
      <w:r>
        <w:rPr>
          <w:rStyle w:val="Odwoanieprzypisudolnego"/>
        </w:rPr>
        <w:footnoteRef/>
      </w:r>
      <w:r>
        <w:t xml:space="preserve"> W przypadku OPERATORÓW dotyczy linii będących w zarządzie operatora będącego wnioskodawcą</w:t>
      </w:r>
    </w:p>
  </w:footnote>
  <w:footnote w:id="4">
    <w:p w14:paraId="018F3646" w14:textId="77777777" w:rsidR="00601B9F" w:rsidRDefault="00601B9F">
      <w:pPr>
        <w:pStyle w:val="Tekstprzypisudolnego"/>
      </w:pPr>
      <w:r>
        <w:rPr>
          <w:rStyle w:val="Odwoanieprzypisudolnego"/>
        </w:rPr>
        <w:footnoteRef/>
      </w:r>
      <w:r>
        <w:t xml:space="preserve"> </w:t>
      </w:r>
      <w:r w:rsidRPr="00E458A6">
        <w:t>Wartości energetyczne poszczególnych paliw</w:t>
      </w:r>
      <w:r>
        <w:t xml:space="preserve"> (kolor jasnoróżowy)</w:t>
      </w:r>
      <w:r w:rsidRPr="00E458A6">
        <w:t xml:space="preserve"> są podane wg odpowiedniego rozporządzenia</w:t>
      </w:r>
      <w:r>
        <w:t xml:space="preserve"> i nie ma obowiązku zastąpienia innym założeniem</w:t>
      </w:r>
      <w:r w:rsidRPr="00E458A6">
        <w:t>, jednak Wnioskodawca może je zmienić wg własnych danych i następnie uzasadnić tą zmianę w opisie.</w:t>
      </w:r>
    </w:p>
  </w:footnote>
  <w:footnote w:id="5">
    <w:p w14:paraId="6E21C35D" w14:textId="77777777" w:rsidR="00601B9F" w:rsidRDefault="00601B9F">
      <w:pPr>
        <w:pStyle w:val="Tekstprzypisudolnego"/>
      </w:pPr>
      <w:r>
        <w:rPr>
          <w:rStyle w:val="Odwoanieprzypisudolnego"/>
        </w:rPr>
        <w:footnoteRef/>
      </w:r>
      <w:r>
        <w:t xml:space="preserve"> Jeżeli Wnioskodawca planuje wymienić autobusy inne niż Diesel, należy odpowiednio zmodyfikować szablon arkusza kalkulacyjnego.</w:t>
      </w:r>
    </w:p>
  </w:footnote>
  <w:footnote w:id="6">
    <w:p w14:paraId="54DDA168" w14:textId="77777777" w:rsidR="00601B9F" w:rsidRDefault="00601B9F" w:rsidP="00D945F3">
      <w:pPr>
        <w:pStyle w:val="Tekstprzypisudolnego"/>
      </w:pPr>
      <w:r>
        <w:rPr>
          <w:rStyle w:val="Odwoanieprzypisudolnego"/>
        </w:rPr>
        <w:footnoteRef/>
      </w:r>
      <w:r>
        <w:t xml:space="preserve">  </w:t>
      </w:r>
      <w:r w:rsidRPr="00CC1AF7">
        <w:t>https://www.gov.pl/web/fundusze-regiony/fundusz-investeu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F4C58" w14:textId="2D5E5D40" w:rsidR="00611316" w:rsidRDefault="00611316">
    <w:pPr>
      <w:pStyle w:val="Nagwek"/>
    </w:pPr>
    <w:r>
      <w:rPr>
        <w:noProof/>
        <w:lang w:eastAsia="pl-PL"/>
      </w:rPr>
      <w:drawing>
        <wp:inline distT="0" distB="0" distL="0" distR="0" wp14:anchorId="182C2423" wp14:editId="08187D5D">
          <wp:extent cx="5731510" cy="678180"/>
          <wp:effectExtent l="0" t="0" r="2540" b="7620"/>
          <wp:docPr id="6" name="Obraz 5"/>
          <wp:cNvGraphicFramePr/>
          <a:graphic xmlns:a="http://schemas.openxmlformats.org/drawingml/2006/main">
            <a:graphicData uri="http://schemas.openxmlformats.org/drawingml/2006/picture">
              <pic:pic xmlns:pic="http://schemas.openxmlformats.org/drawingml/2006/picture">
                <pic:nvPicPr>
                  <pic:cNvPr id="6" name="Obraz 5"/>
                  <pic:cNvPicPr/>
                </pic:nvPicPr>
                <pic:blipFill>
                  <a:blip r:embed="rId1"/>
                  <a:stretch>
                    <a:fillRect/>
                  </a:stretch>
                </pic:blipFill>
                <pic:spPr>
                  <a:xfrm>
                    <a:off x="0" y="0"/>
                    <a:ext cx="573151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649"/>
    <w:multiLevelType w:val="hybridMultilevel"/>
    <w:tmpl w:val="0900A73E"/>
    <w:lvl w:ilvl="0" w:tplc="A6FECE1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02663B9F"/>
    <w:multiLevelType w:val="hybridMultilevel"/>
    <w:tmpl w:val="0FA47478"/>
    <w:lvl w:ilvl="0" w:tplc="D1928064">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 w15:restartNumberingAfterBreak="0">
    <w:nsid w:val="043475FC"/>
    <w:multiLevelType w:val="hybridMultilevel"/>
    <w:tmpl w:val="3D08DD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A02391"/>
    <w:multiLevelType w:val="hybridMultilevel"/>
    <w:tmpl w:val="5F5242E2"/>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5C3A26"/>
    <w:multiLevelType w:val="hybridMultilevel"/>
    <w:tmpl w:val="24F63BE4"/>
    <w:lvl w:ilvl="0" w:tplc="A6FEC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A534D8"/>
    <w:multiLevelType w:val="hybridMultilevel"/>
    <w:tmpl w:val="A2CCF8DC"/>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E00447"/>
    <w:multiLevelType w:val="hybridMultilevel"/>
    <w:tmpl w:val="B260AF48"/>
    <w:lvl w:ilvl="0" w:tplc="D19280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A156ABC"/>
    <w:multiLevelType w:val="hybridMultilevel"/>
    <w:tmpl w:val="EB408BBC"/>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255EF1"/>
    <w:multiLevelType w:val="hybridMultilevel"/>
    <w:tmpl w:val="24C28B9E"/>
    <w:lvl w:ilvl="0" w:tplc="A6FEC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5912EC"/>
    <w:multiLevelType w:val="hybridMultilevel"/>
    <w:tmpl w:val="2DBCD0B6"/>
    <w:lvl w:ilvl="0" w:tplc="D19280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A66378"/>
    <w:multiLevelType w:val="hybridMultilevel"/>
    <w:tmpl w:val="503A2A86"/>
    <w:lvl w:ilvl="0" w:tplc="D192806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CBB01ED"/>
    <w:multiLevelType w:val="hybridMultilevel"/>
    <w:tmpl w:val="2E700256"/>
    <w:lvl w:ilvl="0" w:tplc="D192806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D377E6"/>
    <w:multiLevelType w:val="hybridMultilevel"/>
    <w:tmpl w:val="13948AA4"/>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DF6765"/>
    <w:multiLevelType w:val="hybridMultilevel"/>
    <w:tmpl w:val="2C701E32"/>
    <w:lvl w:ilvl="0" w:tplc="962A33F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0DFA7538"/>
    <w:multiLevelType w:val="hybridMultilevel"/>
    <w:tmpl w:val="659A1DF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0EE513A9"/>
    <w:multiLevelType w:val="multilevel"/>
    <w:tmpl w:val="BBDC8716"/>
    <w:numStyleLink w:val="ListaUwagi"/>
  </w:abstractNum>
  <w:abstractNum w:abstractNumId="16" w15:restartNumberingAfterBreak="0">
    <w:nsid w:val="110359C8"/>
    <w:multiLevelType w:val="hybridMultilevel"/>
    <w:tmpl w:val="38629142"/>
    <w:lvl w:ilvl="0" w:tplc="A6FECE12">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7" w15:restartNumberingAfterBreak="0">
    <w:nsid w:val="11686ECC"/>
    <w:multiLevelType w:val="hybridMultilevel"/>
    <w:tmpl w:val="B99656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1B0302D"/>
    <w:multiLevelType w:val="hybridMultilevel"/>
    <w:tmpl w:val="09E2940C"/>
    <w:lvl w:ilvl="0" w:tplc="04150015">
      <w:start w:val="1"/>
      <w:numFmt w:val="upperLetter"/>
      <w:lvlText w:val="%1."/>
      <w:lvlJc w:val="left"/>
      <w:pPr>
        <w:ind w:left="720" w:hanging="360"/>
      </w:p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D34C5"/>
    <w:multiLevelType w:val="hybridMultilevel"/>
    <w:tmpl w:val="DC3A5534"/>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D26E51"/>
    <w:multiLevelType w:val="hybridMultilevel"/>
    <w:tmpl w:val="BCEC2660"/>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8958E4"/>
    <w:multiLevelType w:val="hybridMultilevel"/>
    <w:tmpl w:val="BDC82CD2"/>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3A486D"/>
    <w:multiLevelType w:val="hybridMultilevel"/>
    <w:tmpl w:val="B0CE648E"/>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AF150AA"/>
    <w:multiLevelType w:val="hybridMultilevel"/>
    <w:tmpl w:val="BE901DCC"/>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0B44F0B"/>
    <w:multiLevelType w:val="hybridMultilevel"/>
    <w:tmpl w:val="5554CA92"/>
    <w:lvl w:ilvl="0" w:tplc="D19280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2DA3E3B"/>
    <w:multiLevelType w:val="hybridMultilevel"/>
    <w:tmpl w:val="2A9891E6"/>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832515"/>
    <w:multiLevelType w:val="hybridMultilevel"/>
    <w:tmpl w:val="DE7497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54A4B"/>
    <w:multiLevelType w:val="hybridMultilevel"/>
    <w:tmpl w:val="EBD02626"/>
    <w:lvl w:ilvl="0" w:tplc="C1E052BC">
      <w:start w:val="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EA07ADB"/>
    <w:multiLevelType w:val="hybridMultilevel"/>
    <w:tmpl w:val="1F042A08"/>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607F8A"/>
    <w:multiLevelType w:val="hybridMultilevel"/>
    <w:tmpl w:val="1B7EF05E"/>
    <w:lvl w:ilvl="0" w:tplc="8F6A3AD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0" w15:restartNumberingAfterBreak="0">
    <w:nsid w:val="30DC13F3"/>
    <w:multiLevelType w:val="hybridMultilevel"/>
    <w:tmpl w:val="C4AC75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A93E03"/>
    <w:multiLevelType w:val="hybridMultilevel"/>
    <w:tmpl w:val="5AA02BBE"/>
    <w:lvl w:ilvl="0" w:tplc="A6FEC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B67F6B"/>
    <w:multiLevelType w:val="hybridMultilevel"/>
    <w:tmpl w:val="FDE0477C"/>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4124F63"/>
    <w:multiLevelType w:val="hybridMultilevel"/>
    <w:tmpl w:val="55F27D2A"/>
    <w:lvl w:ilvl="0" w:tplc="963CF5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45976AB"/>
    <w:multiLevelType w:val="hybridMultilevel"/>
    <w:tmpl w:val="47B6653A"/>
    <w:lvl w:ilvl="0" w:tplc="D13EBF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68F43C0"/>
    <w:multiLevelType w:val="hybridMultilevel"/>
    <w:tmpl w:val="DAA69570"/>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AC55DBA"/>
    <w:multiLevelType w:val="hybridMultilevel"/>
    <w:tmpl w:val="C680A768"/>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F054D4"/>
    <w:multiLevelType w:val="hybridMultilevel"/>
    <w:tmpl w:val="34BA1A40"/>
    <w:lvl w:ilvl="0" w:tplc="C1E052BC">
      <w:start w:val="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F6A7469"/>
    <w:multiLevelType w:val="hybridMultilevel"/>
    <w:tmpl w:val="67A6D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3D45A83"/>
    <w:multiLevelType w:val="hybridMultilevel"/>
    <w:tmpl w:val="5DCCE102"/>
    <w:lvl w:ilvl="0" w:tplc="C1E052BC">
      <w:start w:val="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AE5D6D"/>
    <w:multiLevelType w:val="hybridMultilevel"/>
    <w:tmpl w:val="D6F642CE"/>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5303EF"/>
    <w:multiLevelType w:val="hybridMultilevel"/>
    <w:tmpl w:val="D960C0F0"/>
    <w:lvl w:ilvl="0" w:tplc="32181F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E137CC0"/>
    <w:multiLevelType w:val="hybridMultilevel"/>
    <w:tmpl w:val="B86EDC14"/>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E2A5DA0"/>
    <w:multiLevelType w:val="hybridMultilevel"/>
    <w:tmpl w:val="38C41780"/>
    <w:lvl w:ilvl="0" w:tplc="A6FEC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0BF01AB"/>
    <w:multiLevelType w:val="hybridMultilevel"/>
    <w:tmpl w:val="6A4202A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5" w15:restartNumberingAfterBreak="0">
    <w:nsid w:val="523800E0"/>
    <w:multiLevelType w:val="hybridMultilevel"/>
    <w:tmpl w:val="BC826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612429"/>
    <w:multiLevelType w:val="hybridMultilevel"/>
    <w:tmpl w:val="C7A499A2"/>
    <w:lvl w:ilvl="0" w:tplc="E01636A6">
      <w:start w:val="1"/>
      <w:numFmt w:val="lowerLetter"/>
      <w:lvlText w:val="%1)"/>
      <w:lvlJc w:val="left"/>
      <w:pPr>
        <w:ind w:left="730" w:hanging="3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38545A"/>
    <w:multiLevelType w:val="hybridMultilevel"/>
    <w:tmpl w:val="02107D8A"/>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62341D3"/>
    <w:multiLevelType w:val="hybridMultilevel"/>
    <w:tmpl w:val="141A9520"/>
    <w:lvl w:ilvl="0" w:tplc="C1E052BC">
      <w:start w:val="2"/>
      <w:numFmt w:val="bullet"/>
      <w:lvlText w:val="-"/>
      <w:lvlJc w:val="left"/>
      <w:pPr>
        <w:ind w:left="360" w:hanging="360"/>
      </w:pPr>
      <w:rPr>
        <w:rFonts w:ascii="Arial" w:eastAsia="Times New Roman"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71D3DAA"/>
    <w:multiLevelType w:val="hybridMultilevel"/>
    <w:tmpl w:val="B8C4BD36"/>
    <w:lvl w:ilvl="0" w:tplc="D19280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8974F1F"/>
    <w:multiLevelType w:val="hybridMultilevel"/>
    <w:tmpl w:val="55169C22"/>
    <w:lvl w:ilvl="0" w:tplc="A6FECE1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1" w15:restartNumberingAfterBreak="0">
    <w:nsid w:val="5A006B58"/>
    <w:multiLevelType w:val="hybridMultilevel"/>
    <w:tmpl w:val="CEB0D6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AEA03A1"/>
    <w:multiLevelType w:val="hybridMultilevel"/>
    <w:tmpl w:val="A9DE19D6"/>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5B2B51E7"/>
    <w:multiLevelType w:val="hybridMultilevel"/>
    <w:tmpl w:val="7276B006"/>
    <w:lvl w:ilvl="0" w:tplc="6248FC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B627899"/>
    <w:multiLevelType w:val="hybridMultilevel"/>
    <w:tmpl w:val="8F74F6CA"/>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15:restartNumberingAfterBreak="0">
    <w:nsid w:val="5C393195"/>
    <w:multiLevelType w:val="hybridMultilevel"/>
    <w:tmpl w:val="D8420F40"/>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D5A0AD2"/>
    <w:multiLevelType w:val="hybridMultilevel"/>
    <w:tmpl w:val="47944BA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287539"/>
    <w:multiLevelType w:val="hybridMultilevel"/>
    <w:tmpl w:val="AF02701E"/>
    <w:lvl w:ilvl="0" w:tplc="D192806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5EAA5D34"/>
    <w:multiLevelType w:val="hybridMultilevel"/>
    <w:tmpl w:val="1924C790"/>
    <w:lvl w:ilvl="0" w:tplc="C1E052BC">
      <w:start w:val="2"/>
      <w:numFmt w:val="bullet"/>
      <w:lvlText w:val="-"/>
      <w:lvlJc w:val="left"/>
      <w:pPr>
        <w:ind w:left="360" w:hanging="360"/>
      </w:pPr>
      <w:rPr>
        <w:rFonts w:ascii="Arial" w:eastAsia="Times New Roman"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0C22BB0"/>
    <w:multiLevelType w:val="hybridMultilevel"/>
    <w:tmpl w:val="6B62E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12D555A"/>
    <w:multiLevelType w:val="hybridMultilevel"/>
    <w:tmpl w:val="5E02EE58"/>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2495681"/>
    <w:multiLevelType w:val="hybridMultilevel"/>
    <w:tmpl w:val="C878300A"/>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2CC08E1"/>
    <w:multiLevelType w:val="hybridMultilevel"/>
    <w:tmpl w:val="AD62254A"/>
    <w:lvl w:ilvl="0" w:tplc="77022C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153E7A"/>
    <w:multiLevelType w:val="hybridMultilevel"/>
    <w:tmpl w:val="30D26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8C10C09"/>
    <w:multiLevelType w:val="hybridMultilevel"/>
    <w:tmpl w:val="2C38E8C4"/>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BD630AC"/>
    <w:multiLevelType w:val="hybridMultilevel"/>
    <w:tmpl w:val="CA5A9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BEE5496"/>
    <w:multiLevelType w:val="hybridMultilevel"/>
    <w:tmpl w:val="92D6BC12"/>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D2F6FDB"/>
    <w:multiLevelType w:val="multilevel"/>
    <w:tmpl w:val="BBDC8716"/>
    <w:styleLink w:val="ListaUwagi"/>
    <w:lvl w:ilvl="0">
      <w:start w:val="1"/>
      <w:numFmt w:val="decimal"/>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bullet"/>
      <w:lvlText w:val=""/>
      <w:lvlJc w:val="left"/>
      <w:pPr>
        <w:ind w:left="1077" w:hanging="35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DA2379F"/>
    <w:multiLevelType w:val="hybridMultilevel"/>
    <w:tmpl w:val="05B2EC98"/>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DD84CB4"/>
    <w:multiLevelType w:val="hybridMultilevel"/>
    <w:tmpl w:val="0B343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5269F7"/>
    <w:multiLevelType w:val="hybridMultilevel"/>
    <w:tmpl w:val="5F3A98BA"/>
    <w:lvl w:ilvl="0" w:tplc="C1E052BC">
      <w:start w:val="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FFC5796"/>
    <w:multiLevelType w:val="hybridMultilevel"/>
    <w:tmpl w:val="DD4A1D74"/>
    <w:lvl w:ilvl="0" w:tplc="0262D6EC">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2" w15:restartNumberingAfterBreak="0">
    <w:nsid w:val="70025A13"/>
    <w:multiLevelType w:val="hybridMultilevel"/>
    <w:tmpl w:val="A9C8E316"/>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89781D"/>
    <w:multiLevelType w:val="hybridMultilevel"/>
    <w:tmpl w:val="76865060"/>
    <w:lvl w:ilvl="0" w:tplc="D192806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0FB1810"/>
    <w:multiLevelType w:val="hybridMultilevel"/>
    <w:tmpl w:val="644063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001A0F"/>
    <w:multiLevelType w:val="hybridMultilevel"/>
    <w:tmpl w:val="B3403B5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494DE6"/>
    <w:multiLevelType w:val="hybridMultilevel"/>
    <w:tmpl w:val="5EF2C2D2"/>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5CE26FA"/>
    <w:multiLevelType w:val="hybridMultilevel"/>
    <w:tmpl w:val="115C506C"/>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61E2570"/>
    <w:multiLevelType w:val="hybridMultilevel"/>
    <w:tmpl w:val="0C406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83A1A53"/>
    <w:multiLevelType w:val="hybridMultilevel"/>
    <w:tmpl w:val="442235C4"/>
    <w:lvl w:ilvl="0" w:tplc="D1928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B6C3679"/>
    <w:multiLevelType w:val="hybridMultilevel"/>
    <w:tmpl w:val="9A88E1A4"/>
    <w:lvl w:ilvl="0" w:tplc="F8406E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7CCB4641"/>
    <w:multiLevelType w:val="hybridMultilevel"/>
    <w:tmpl w:val="DFE61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9"/>
  </w:num>
  <w:num w:numId="2">
    <w:abstractNumId w:val="37"/>
  </w:num>
  <w:num w:numId="3">
    <w:abstractNumId w:val="27"/>
  </w:num>
  <w:num w:numId="4">
    <w:abstractNumId w:val="39"/>
  </w:num>
  <w:num w:numId="5">
    <w:abstractNumId w:val="70"/>
  </w:num>
  <w:num w:numId="6">
    <w:abstractNumId w:val="48"/>
  </w:num>
  <w:num w:numId="7">
    <w:abstractNumId w:val="17"/>
  </w:num>
  <w:num w:numId="8">
    <w:abstractNumId w:val="78"/>
  </w:num>
  <w:num w:numId="9">
    <w:abstractNumId w:val="51"/>
  </w:num>
  <w:num w:numId="10">
    <w:abstractNumId w:val="58"/>
  </w:num>
  <w:num w:numId="11">
    <w:abstractNumId w:val="2"/>
  </w:num>
  <w:num w:numId="12">
    <w:abstractNumId w:val="79"/>
  </w:num>
  <w:num w:numId="13">
    <w:abstractNumId w:val="61"/>
  </w:num>
  <w:num w:numId="14">
    <w:abstractNumId w:val="5"/>
  </w:num>
  <w:num w:numId="15">
    <w:abstractNumId w:val="76"/>
  </w:num>
  <w:num w:numId="16">
    <w:abstractNumId w:val="60"/>
  </w:num>
  <w:num w:numId="17">
    <w:abstractNumId w:val="32"/>
  </w:num>
  <w:num w:numId="18">
    <w:abstractNumId w:val="6"/>
  </w:num>
  <w:num w:numId="19">
    <w:abstractNumId w:val="65"/>
  </w:num>
  <w:num w:numId="20">
    <w:abstractNumId w:val="55"/>
  </w:num>
  <w:num w:numId="21">
    <w:abstractNumId w:val="72"/>
  </w:num>
  <w:num w:numId="22">
    <w:abstractNumId w:val="66"/>
  </w:num>
  <w:num w:numId="23">
    <w:abstractNumId w:val="68"/>
  </w:num>
  <w:num w:numId="24">
    <w:abstractNumId w:val="42"/>
  </w:num>
  <w:num w:numId="25">
    <w:abstractNumId w:val="20"/>
  </w:num>
  <w:num w:numId="26">
    <w:abstractNumId w:val="77"/>
  </w:num>
  <w:num w:numId="27">
    <w:abstractNumId w:val="64"/>
  </w:num>
  <w:num w:numId="28">
    <w:abstractNumId w:val="21"/>
  </w:num>
  <w:num w:numId="29">
    <w:abstractNumId w:val="54"/>
  </w:num>
  <w:num w:numId="30">
    <w:abstractNumId w:val="36"/>
  </w:num>
  <w:num w:numId="31">
    <w:abstractNumId w:val="25"/>
  </w:num>
  <w:num w:numId="32">
    <w:abstractNumId w:val="19"/>
  </w:num>
  <w:num w:numId="33">
    <w:abstractNumId w:val="49"/>
  </w:num>
  <w:num w:numId="34">
    <w:abstractNumId w:val="22"/>
  </w:num>
  <w:num w:numId="35">
    <w:abstractNumId w:val="9"/>
  </w:num>
  <w:num w:numId="36">
    <w:abstractNumId w:val="47"/>
  </w:num>
  <w:num w:numId="37">
    <w:abstractNumId w:val="28"/>
  </w:num>
  <w:num w:numId="38">
    <w:abstractNumId w:val="73"/>
  </w:num>
  <w:num w:numId="39">
    <w:abstractNumId w:val="10"/>
  </w:num>
  <w:num w:numId="40">
    <w:abstractNumId w:val="11"/>
  </w:num>
  <w:num w:numId="41">
    <w:abstractNumId w:val="57"/>
  </w:num>
  <w:num w:numId="42">
    <w:abstractNumId w:val="1"/>
  </w:num>
  <w:num w:numId="43">
    <w:abstractNumId w:val="23"/>
  </w:num>
  <w:num w:numId="44">
    <w:abstractNumId w:val="12"/>
  </w:num>
  <w:num w:numId="45">
    <w:abstractNumId w:val="40"/>
  </w:num>
  <w:num w:numId="46">
    <w:abstractNumId w:val="26"/>
  </w:num>
  <w:num w:numId="47">
    <w:abstractNumId w:val="3"/>
  </w:num>
  <w:num w:numId="48">
    <w:abstractNumId w:val="35"/>
  </w:num>
  <w:num w:numId="49">
    <w:abstractNumId w:val="24"/>
  </w:num>
  <w:num w:numId="50">
    <w:abstractNumId w:val="69"/>
  </w:num>
  <w:num w:numId="51">
    <w:abstractNumId w:val="45"/>
  </w:num>
  <w:num w:numId="52">
    <w:abstractNumId w:val="18"/>
  </w:num>
  <w:num w:numId="53">
    <w:abstractNumId w:val="80"/>
  </w:num>
  <w:num w:numId="54">
    <w:abstractNumId w:val="34"/>
  </w:num>
  <w:num w:numId="55">
    <w:abstractNumId w:val="33"/>
  </w:num>
  <w:num w:numId="56">
    <w:abstractNumId w:val="56"/>
  </w:num>
  <w:num w:numId="57">
    <w:abstractNumId w:val="75"/>
  </w:num>
  <w:num w:numId="58">
    <w:abstractNumId w:val="7"/>
  </w:num>
  <w:num w:numId="59">
    <w:abstractNumId w:val="29"/>
  </w:num>
  <w:num w:numId="60">
    <w:abstractNumId w:val="13"/>
  </w:num>
  <w:num w:numId="61">
    <w:abstractNumId w:val="53"/>
  </w:num>
  <w:num w:numId="62">
    <w:abstractNumId w:val="41"/>
  </w:num>
  <w:num w:numId="63">
    <w:abstractNumId w:val="62"/>
  </w:num>
  <w:num w:numId="64">
    <w:abstractNumId w:val="52"/>
  </w:num>
  <w:num w:numId="65">
    <w:abstractNumId w:val="74"/>
  </w:num>
  <w:num w:numId="66">
    <w:abstractNumId w:val="81"/>
  </w:num>
  <w:num w:numId="67">
    <w:abstractNumId w:val="38"/>
  </w:num>
  <w:num w:numId="68">
    <w:abstractNumId w:val="63"/>
  </w:num>
  <w:num w:numId="69">
    <w:abstractNumId w:val="46"/>
  </w:num>
  <w:num w:numId="70">
    <w:abstractNumId w:val="30"/>
  </w:num>
  <w:num w:numId="71">
    <w:abstractNumId w:val="44"/>
  </w:num>
  <w:num w:numId="72">
    <w:abstractNumId w:val="14"/>
  </w:num>
  <w:num w:numId="73">
    <w:abstractNumId w:val="71"/>
  </w:num>
  <w:num w:numId="74">
    <w:abstractNumId w:val="0"/>
  </w:num>
  <w:num w:numId="75">
    <w:abstractNumId w:val="4"/>
  </w:num>
  <w:num w:numId="76">
    <w:abstractNumId w:val="31"/>
  </w:num>
  <w:num w:numId="77">
    <w:abstractNumId w:val="16"/>
  </w:num>
  <w:num w:numId="78">
    <w:abstractNumId w:val="50"/>
  </w:num>
  <w:num w:numId="79">
    <w:abstractNumId w:val="43"/>
  </w:num>
  <w:num w:numId="80">
    <w:abstractNumId w:val="8"/>
  </w:num>
  <w:num w:numId="81">
    <w:abstractNumId w:val="67"/>
  </w:num>
  <w:num w:numId="82">
    <w:abstractNumId w:val="1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ata Witkowska">
    <w15:presenceInfo w15:providerId="AD" w15:userId="S-1-5-21-1138391528-1344773269-1099832426-9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CD"/>
    <w:rsid w:val="00000C85"/>
    <w:rsid w:val="00000CAB"/>
    <w:rsid w:val="0000298B"/>
    <w:rsid w:val="00003880"/>
    <w:rsid w:val="0000487C"/>
    <w:rsid w:val="00004D6C"/>
    <w:rsid w:val="00007343"/>
    <w:rsid w:val="0000777B"/>
    <w:rsid w:val="00007F00"/>
    <w:rsid w:val="00010B7D"/>
    <w:rsid w:val="00013AF4"/>
    <w:rsid w:val="00016DAB"/>
    <w:rsid w:val="0002080C"/>
    <w:rsid w:val="00020D16"/>
    <w:rsid w:val="00021703"/>
    <w:rsid w:val="00024CE4"/>
    <w:rsid w:val="00027D78"/>
    <w:rsid w:val="0003186C"/>
    <w:rsid w:val="000331EB"/>
    <w:rsid w:val="000343A1"/>
    <w:rsid w:val="000356A0"/>
    <w:rsid w:val="0003635C"/>
    <w:rsid w:val="00036FE0"/>
    <w:rsid w:val="00040D21"/>
    <w:rsid w:val="000422BB"/>
    <w:rsid w:val="0004405E"/>
    <w:rsid w:val="00045BB7"/>
    <w:rsid w:val="00051A74"/>
    <w:rsid w:val="00052741"/>
    <w:rsid w:val="00053276"/>
    <w:rsid w:val="0005354D"/>
    <w:rsid w:val="00056293"/>
    <w:rsid w:val="000613DC"/>
    <w:rsid w:val="00062435"/>
    <w:rsid w:val="00063AF7"/>
    <w:rsid w:val="00063D75"/>
    <w:rsid w:val="00067223"/>
    <w:rsid w:val="00067252"/>
    <w:rsid w:val="00070CA7"/>
    <w:rsid w:val="00072B3E"/>
    <w:rsid w:val="00074CD9"/>
    <w:rsid w:val="0008118C"/>
    <w:rsid w:val="0008404E"/>
    <w:rsid w:val="00084EC0"/>
    <w:rsid w:val="0008612E"/>
    <w:rsid w:val="00086B17"/>
    <w:rsid w:val="000910F4"/>
    <w:rsid w:val="00091EBC"/>
    <w:rsid w:val="00097F66"/>
    <w:rsid w:val="000A2530"/>
    <w:rsid w:val="000A2B98"/>
    <w:rsid w:val="000A2E87"/>
    <w:rsid w:val="000A5036"/>
    <w:rsid w:val="000A7310"/>
    <w:rsid w:val="000A7A6B"/>
    <w:rsid w:val="000A7E35"/>
    <w:rsid w:val="000B0AD6"/>
    <w:rsid w:val="000B1658"/>
    <w:rsid w:val="000B25FB"/>
    <w:rsid w:val="000B2861"/>
    <w:rsid w:val="000B382E"/>
    <w:rsid w:val="000B3D27"/>
    <w:rsid w:val="000B4523"/>
    <w:rsid w:val="000B45BA"/>
    <w:rsid w:val="000B5188"/>
    <w:rsid w:val="000C1E45"/>
    <w:rsid w:val="000C32C2"/>
    <w:rsid w:val="000C4E9D"/>
    <w:rsid w:val="000C5508"/>
    <w:rsid w:val="000D2302"/>
    <w:rsid w:val="000D5A4A"/>
    <w:rsid w:val="000D5CFE"/>
    <w:rsid w:val="000E078F"/>
    <w:rsid w:val="000E0CAA"/>
    <w:rsid w:val="000E1131"/>
    <w:rsid w:val="000E1966"/>
    <w:rsid w:val="000E197E"/>
    <w:rsid w:val="000E374A"/>
    <w:rsid w:val="000E5134"/>
    <w:rsid w:val="000E65F7"/>
    <w:rsid w:val="000E67C1"/>
    <w:rsid w:val="000E79B7"/>
    <w:rsid w:val="000F025E"/>
    <w:rsid w:val="000F05B5"/>
    <w:rsid w:val="000F07BE"/>
    <w:rsid w:val="000F18D6"/>
    <w:rsid w:val="000F2953"/>
    <w:rsid w:val="00102A53"/>
    <w:rsid w:val="00106D83"/>
    <w:rsid w:val="00107131"/>
    <w:rsid w:val="00110071"/>
    <w:rsid w:val="00113439"/>
    <w:rsid w:val="00115093"/>
    <w:rsid w:val="00117A11"/>
    <w:rsid w:val="001200EC"/>
    <w:rsid w:val="00120E7E"/>
    <w:rsid w:val="00121B26"/>
    <w:rsid w:val="00124BEA"/>
    <w:rsid w:val="00127E0C"/>
    <w:rsid w:val="001309E5"/>
    <w:rsid w:val="00132CFF"/>
    <w:rsid w:val="00133910"/>
    <w:rsid w:val="00134FA7"/>
    <w:rsid w:val="00135AAB"/>
    <w:rsid w:val="0013618E"/>
    <w:rsid w:val="00137385"/>
    <w:rsid w:val="0013744F"/>
    <w:rsid w:val="0014200E"/>
    <w:rsid w:val="00143D0C"/>
    <w:rsid w:val="00145CE0"/>
    <w:rsid w:val="0014626A"/>
    <w:rsid w:val="001474A5"/>
    <w:rsid w:val="001477A0"/>
    <w:rsid w:val="00147C68"/>
    <w:rsid w:val="0015022A"/>
    <w:rsid w:val="00150453"/>
    <w:rsid w:val="00152ABA"/>
    <w:rsid w:val="00152EE3"/>
    <w:rsid w:val="00154D14"/>
    <w:rsid w:val="00154E59"/>
    <w:rsid w:val="00155C9C"/>
    <w:rsid w:val="001615DA"/>
    <w:rsid w:val="0016167A"/>
    <w:rsid w:val="00164BD6"/>
    <w:rsid w:val="00167211"/>
    <w:rsid w:val="00167C65"/>
    <w:rsid w:val="00167F66"/>
    <w:rsid w:val="00173370"/>
    <w:rsid w:val="001745DD"/>
    <w:rsid w:val="00176947"/>
    <w:rsid w:val="0017769C"/>
    <w:rsid w:val="001778FF"/>
    <w:rsid w:val="001812D3"/>
    <w:rsid w:val="0018379C"/>
    <w:rsid w:val="00183E61"/>
    <w:rsid w:val="00194D6B"/>
    <w:rsid w:val="001958CA"/>
    <w:rsid w:val="00197F31"/>
    <w:rsid w:val="001A020F"/>
    <w:rsid w:val="001A0FBE"/>
    <w:rsid w:val="001A506A"/>
    <w:rsid w:val="001A5449"/>
    <w:rsid w:val="001A6ADF"/>
    <w:rsid w:val="001A70A3"/>
    <w:rsid w:val="001B184E"/>
    <w:rsid w:val="001B4148"/>
    <w:rsid w:val="001B4CD7"/>
    <w:rsid w:val="001B6B7E"/>
    <w:rsid w:val="001B6E05"/>
    <w:rsid w:val="001B7851"/>
    <w:rsid w:val="001C179A"/>
    <w:rsid w:val="001C1DBF"/>
    <w:rsid w:val="001C4ECF"/>
    <w:rsid w:val="001C6F45"/>
    <w:rsid w:val="001D0AAA"/>
    <w:rsid w:val="001D0F31"/>
    <w:rsid w:val="001D138A"/>
    <w:rsid w:val="001D1906"/>
    <w:rsid w:val="001D205A"/>
    <w:rsid w:val="001D3F57"/>
    <w:rsid w:val="001D480C"/>
    <w:rsid w:val="001D4C8F"/>
    <w:rsid w:val="001D6090"/>
    <w:rsid w:val="001D659B"/>
    <w:rsid w:val="001D755D"/>
    <w:rsid w:val="001E4143"/>
    <w:rsid w:val="001E6DAF"/>
    <w:rsid w:val="001F0B70"/>
    <w:rsid w:val="001F2539"/>
    <w:rsid w:val="001F4896"/>
    <w:rsid w:val="001F5B87"/>
    <w:rsid w:val="001F7143"/>
    <w:rsid w:val="001F7990"/>
    <w:rsid w:val="001F7ABE"/>
    <w:rsid w:val="00201398"/>
    <w:rsid w:val="002014B6"/>
    <w:rsid w:val="00202B4E"/>
    <w:rsid w:val="00202C27"/>
    <w:rsid w:val="00205313"/>
    <w:rsid w:val="00205FBD"/>
    <w:rsid w:val="00206A83"/>
    <w:rsid w:val="0021247C"/>
    <w:rsid w:val="00212AB6"/>
    <w:rsid w:val="0022048D"/>
    <w:rsid w:val="0022217F"/>
    <w:rsid w:val="00222C89"/>
    <w:rsid w:val="00225DDF"/>
    <w:rsid w:val="002262F5"/>
    <w:rsid w:val="00226439"/>
    <w:rsid w:val="00230B8E"/>
    <w:rsid w:val="00230C49"/>
    <w:rsid w:val="00231BB2"/>
    <w:rsid w:val="00231F4C"/>
    <w:rsid w:val="00233A38"/>
    <w:rsid w:val="00234B22"/>
    <w:rsid w:val="0023742C"/>
    <w:rsid w:val="0024117D"/>
    <w:rsid w:val="00241286"/>
    <w:rsid w:val="002417CD"/>
    <w:rsid w:val="002433FC"/>
    <w:rsid w:val="00244C64"/>
    <w:rsid w:val="00245171"/>
    <w:rsid w:val="00245DE2"/>
    <w:rsid w:val="00245F57"/>
    <w:rsid w:val="00246057"/>
    <w:rsid w:val="00246873"/>
    <w:rsid w:val="00247C9B"/>
    <w:rsid w:val="0025063A"/>
    <w:rsid w:val="002522D9"/>
    <w:rsid w:val="00252B98"/>
    <w:rsid w:val="002548F4"/>
    <w:rsid w:val="00257CD1"/>
    <w:rsid w:val="0026367B"/>
    <w:rsid w:val="0026488A"/>
    <w:rsid w:val="00264F25"/>
    <w:rsid w:val="00271F78"/>
    <w:rsid w:val="00275944"/>
    <w:rsid w:val="00276A23"/>
    <w:rsid w:val="00277BD5"/>
    <w:rsid w:val="002831D6"/>
    <w:rsid w:val="002879FC"/>
    <w:rsid w:val="00290AB8"/>
    <w:rsid w:val="00292A5D"/>
    <w:rsid w:val="00293CF7"/>
    <w:rsid w:val="0029759F"/>
    <w:rsid w:val="00297DEF"/>
    <w:rsid w:val="002A179B"/>
    <w:rsid w:val="002A5039"/>
    <w:rsid w:val="002A67CB"/>
    <w:rsid w:val="002A6E7D"/>
    <w:rsid w:val="002A6F3B"/>
    <w:rsid w:val="002A7E09"/>
    <w:rsid w:val="002B3A31"/>
    <w:rsid w:val="002B43BE"/>
    <w:rsid w:val="002B446D"/>
    <w:rsid w:val="002B4D55"/>
    <w:rsid w:val="002B4DE2"/>
    <w:rsid w:val="002B6109"/>
    <w:rsid w:val="002B6A4B"/>
    <w:rsid w:val="002B71A8"/>
    <w:rsid w:val="002C25F2"/>
    <w:rsid w:val="002C54E4"/>
    <w:rsid w:val="002C5EE9"/>
    <w:rsid w:val="002C759C"/>
    <w:rsid w:val="002D48F8"/>
    <w:rsid w:val="002D640B"/>
    <w:rsid w:val="002D7826"/>
    <w:rsid w:val="002D7EE6"/>
    <w:rsid w:val="002E2B03"/>
    <w:rsid w:val="002E4966"/>
    <w:rsid w:val="002E4BCA"/>
    <w:rsid w:val="002E6D8B"/>
    <w:rsid w:val="002E7C45"/>
    <w:rsid w:val="002F2E10"/>
    <w:rsid w:val="002F5691"/>
    <w:rsid w:val="002F64DA"/>
    <w:rsid w:val="00300D31"/>
    <w:rsid w:val="00303A81"/>
    <w:rsid w:val="00304492"/>
    <w:rsid w:val="00304A90"/>
    <w:rsid w:val="0030651A"/>
    <w:rsid w:val="003078C8"/>
    <w:rsid w:val="003112D2"/>
    <w:rsid w:val="00312F0E"/>
    <w:rsid w:val="003141C3"/>
    <w:rsid w:val="003149E2"/>
    <w:rsid w:val="00315437"/>
    <w:rsid w:val="00315675"/>
    <w:rsid w:val="00316264"/>
    <w:rsid w:val="00316BAF"/>
    <w:rsid w:val="00317B94"/>
    <w:rsid w:val="003228BD"/>
    <w:rsid w:val="00323A24"/>
    <w:rsid w:val="003240D9"/>
    <w:rsid w:val="003266A6"/>
    <w:rsid w:val="003305D9"/>
    <w:rsid w:val="003324FB"/>
    <w:rsid w:val="00333C9C"/>
    <w:rsid w:val="00334559"/>
    <w:rsid w:val="00336929"/>
    <w:rsid w:val="003371AD"/>
    <w:rsid w:val="0033761A"/>
    <w:rsid w:val="00340B26"/>
    <w:rsid w:val="00340DD2"/>
    <w:rsid w:val="00341F7A"/>
    <w:rsid w:val="00342B1A"/>
    <w:rsid w:val="00347AAA"/>
    <w:rsid w:val="0035079F"/>
    <w:rsid w:val="00355171"/>
    <w:rsid w:val="003565F0"/>
    <w:rsid w:val="00365EF3"/>
    <w:rsid w:val="00366946"/>
    <w:rsid w:val="00373683"/>
    <w:rsid w:val="003748BA"/>
    <w:rsid w:val="00375164"/>
    <w:rsid w:val="00375A79"/>
    <w:rsid w:val="00375AFE"/>
    <w:rsid w:val="003800E8"/>
    <w:rsid w:val="00380AC6"/>
    <w:rsid w:val="00387137"/>
    <w:rsid w:val="00390F7C"/>
    <w:rsid w:val="00392C20"/>
    <w:rsid w:val="003931C2"/>
    <w:rsid w:val="00395EAE"/>
    <w:rsid w:val="003A1355"/>
    <w:rsid w:val="003A3F96"/>
    <w:rsid w:val="003A42AC"/>
    <w:rsid w:val="003A43C8"/>
    <w:rsid w:val="003A503D"/>
    <w:rsid w:val="003A52A1"/>
    <w:rsid w:val="003A70E4"/>
    <w:rsid w:val="003A7AC8"/>
    <w:rsid w:val="003B2053"/>
    <w:rsid w:val="003B3798"/>
    <w:rsid w:val="003B3A18"/>
    <w:rsid w:val="003B690D"/>
    <w:rsid w:val="003C1C38"/>
    <w:rsid w:val="003C1F80"/>
    <w:rsid w:val="003C34B5"/>
    <w:rsid w:val="003D00FB"/>
    <w:rsid w:val="003D2690"/>
    <w:rsid w:val="003D2989"/>
    <w:rsid w:val="003D2F96"/>
    <w:rsid w:val="003D325E"/>
    <w:rsid w:val="003D603F"/>
    <w:rsid w:val="003E0E6E"/>
    <w:rsid w:val="003E21B8"/>
    <w:rsid w:val="003E29EB"/>
    <w:rsid w:val="003E57F5"/>
    <w:rsid w:val="003E660F"/>
    <w:rsid w:val="003E670B"/>
    <w:rsid w:val="003E6901"/>
    <w:rsid w:val="003E6B4C"/>
    <w:rsid w:val="003F0D9F"/>
    <w:rsid w:val="003F1E83"/>
    <w:rsid w:val="003F1F09"/>
    <w:rsid w:val="003F4520"/>
    <w:rsid w:val="003F773A"/>
    <w:rsid w:val="003F7B62"/>
    <w:rsid w:val="003F7D44"/>
    <w:rsid w:val="0040088A"/>
    <w:rsid w:val="004075BD"/>
    <w:rsid w:val="00407FDB"/>
    <w:rsid w:val="00412B9B"/>
    <w:rsid w:val="00412F47"/>
    <w:rsid w:val="0041301C"/>
    <w:rsid w:val="00420A7A"/>
    <w:rsid w:val="00422471"/>
    <w:rsid w:val="00422740"/>
    <w:rsid w:val="00423F60"/>
    <w:rsid w:val="0042488E"/>
    <w:rsid w:val="00426A1D"/>
    <w:rsid w:val="00430F72"/>
    <w:rsid w:val="00431FB9"/>
    <w:rsid w:val="00432426"/>
    <w:rsid w:val="004333C6"/>
    <w:rsid w:val="004340FB"/>
    <w:rsid w:val="00436520"/>
    <w:rsid w:val="004372A0"/>
    <w:rsid w:val="00441E7B"/>
    <w:rsid w:val="004422A8"/>
    <w:rsid w:val="00443272"/>
    <w:rsid w:val="00444DBE"/>
    <w:rsid w:val="00445517"/>
    <w:rsid w:val="0044618E"/>
    <w:rsid w:val="0045096F"/>
    <w:rsid w:val="004541C2"/>
    <w:rsid w:val="004550FE"/>
    <w:rsid w:val="00456770"/>
    <w:rsid w:val="004570D7"/>
    <w:rsid w:val="004620BE"/>
    <w:rsid w:val="0046221B"/>
    <w:rsid w:val="00462F57"/>
    <w:rsid w:val="00464554"/>
    <w:rsid w:val="00465B0F"/>
    <w:rsid w:val="00466887"/>
    <w:rsid w:val="00470303"/>
    <w:rsid w:val="00473FDA"/>
    <w:rsid w:val="0047709A"/>
    <w:rsid w:val="00481991"/>
    <w:rsid w:val="00481A7E"/>
    <w:rsid w:val="00483324"/>
    <w:rsid w:val="0048356B"/>
    <w:rsid w:val="0048617F"/>
    <w:rsid w:val="004865A2"/>
    <w:rsid w:val="00493E17"/>
    <w:rsid w:val="00493F32"/>
    <w:rsid w:val="004955FE"/>
    <w:rsid w:val="00496514"/>
    <w:rsid w:val="004A1996"/>
    <w:rsid w:val="004A2784"/>
    <w:rsid w:val="004A2C30"/>
    <w:rsid w:val="004A3BDE"/>
    <w:rsid w:val="004A6D2B"/>
    <w:rsid w:val="004A7B24"/>
    <w:rsid w:val="004B0E5F"/>
    <w:rsid w:val="004B356E"/>
    <w:rsid w:val="004B3733"/>
    <w:rsid w:val="004B3E77"/>
    <w:rsid w:val="004B42E0"/>
    <w:rsid w:val="004B5CA1"/>
    <w:rsid w:val="004C1FAB"/>
    <w:rsid w:val="004D0AEC"/>
    <w:rsid w:val="004D0C16"/>
    <w:rsid w:val="004E0486"/>
    <w:rsid w:val="004E066F"/>
    <w:rsid w:val="004E1139"/>
    <w:rsid w:val="004E1675"/>
    <w:rsid w:val="004E1D9A"/>
    <w:rsid w:val="004E1DAE"/>
    <w:rsid w:val="004E240A"/>
    <w:rsid w:val="004E2C03"/>
    <w:rsid w:val="004E3A5B"/>
    <w:rsid w:val="004E3BD6"/>
    <w:rsid w:val="004E548B"/>
    <w:rsid w:val="004E78A0"/>
    <w:rsid w:val="004E7A4F"/>
    <w:rsid w:val="004E7D35"/>
    <w:rsid w:val="004F00D2"/>
    <w:rsid w:val="004F472A"/>
    <w:rsid w:val="004F4B0D"/>
    <w:rsid w:val="004F58EB"/>
    <w:rsid w:val="004F6352"/>
    <w:rsid w:val="004F699A"/>
    <w:rsid w:val="004F69A2"/>
    <w:rsid w:val="004F6BA0"/>
    <w:rsid w:val="004F7EEA"/>
    <w:rsid w:val="00502A10"/>
    <w:rsid w:val="00504382"/>
    <w:rsid w:val="0050487B"/>
    <w:rsid w:val="005059E3"/>
    <w:rsid w:val="005062BA"/>
    <w:rsid w:val="00506F6C"/>
    <w:rsid w:val="00510D23"/>
    <w:rsid w:val="00512EFF"/>
    <w:rsid w:val="005133F5"/>
    <w:rsid w:val="00514C72"/>
    <w:rsid w:val="00523563"/>
    <w:rsid w:val="00524D8A"/>
    <w:rsid w:val="0052527F"/>
    <w:rsid w:val="00530004"/>
    <w:rsid w:val="0053134F"/>
    <w:rsid w:val="0053311E"/>
    <w:rsid w:val="00534223"/>
    <w:rsid w:val="0053453E"/>
    <w:rsid w:val="005358D1"/>
    <w:rsid w:val="0054067A"/>
    <w:rsid w:val="0054530F"/>
    <w:rsid w:val="00545D46"/>
    <w:rsid w:val="00545DFF"/>
    <w:rsid w:val="00545E72"/>
    <w:rsid w:val="005465E8"/>
    <w:rsid w:val="00551A20"/>
    <w:rsid w:val="00557A31"/>
    <w:rsid w:val="005611DA"/>
    <w:rsid w:val="005633D0"/>
    <w:rsid w:val="005642B5"/>
    <w:rsid w:val="00567319"/>
    <w:rsid w:val="0057163A"/>
    <w:rsid w:val="0057222D"/>
    <w:rsid w:val="00573CDA"/>
    <w:rsid w:val="00574AD4"/>
    <w:rsid w:val="0058001D"/>
    <w:rsid w:val="00580A34"/>
    <w:rsid w:val="00582C89"/>
    <w:rsid w:val="005841A8"/>
    <w:rsid w:val="00585E02"/>
    <w:rsid w:val="005864FB"/>
    <w:rsid w:val="00586E17"/>
    <w:rsid w:val="00590A48"/>
    <w:rsid w:val="005910C9"/>
    <w:rsid w:val="00592102"/>
    <w:rsid w:val="005925DE"/>
    <w:rsid w:val="00592AB6"/>
    <w:rsid w:val="005946BC"/>
    <w:rsid w:val="00594D31"/>
    <w:rsid w:val="00597351"/>
    <w:rsid w:val="00597860"/>
    <w:rsid w:val="005A2F35"/>
    <w:rsid w:val="005A4AEE"/>
    <w:rsid w:val="005A778E"/>
    <w:rsid w:val="005B06F5"/>
    <w:rsid w:val="005B1DB4"/>
    <w:rsid w:val="005B2F6C"/>
    <w:rsid w:val="005B4E4F"/>
    <w:rsid w:val="005B669D"/>
    <w:rsid w:val="005B6E1C"/>
    <w:rsid w:val="005C31EF"/>
    <w:rsid w:val="005C68C7"/>
    <w:rsid w:val="005C7E30"/>
    <w:rsid w:val="005D1436"/>
    <w:rsid w:val="005D1F0C"/>
    <w:rsid w:val="005D2F38"/>
    <w:rsid w:val="005D3D2B"/>
    <w:rsid w:val="005D466A"/>
    <w:rsid w:val="005D4FC2"/>
    <w:rsid w:val="005D7ED2"/>
    <w:rsid w:val="005E249B"/>
    <w:rsid w:val="005E3629"/>
    <w:rsid w:val="005E4951"/>
    <w:rsid w:val="005E6C90"/>
    <w:rsid w:val="005E70ED"/>
    <w:rsid w:val="005F18C2"/>
    <w:rsid w:val="005F1EA9"/>
    <w:rsid w:val="005F227D"/>
    <w:rsid w:val="005F2E4C"/>
    <w:rsid w:val="005F381D"/>
    <w:rsid w:val="005F391F"/>
    <w:rsid w:val="005F4103"/>
    <w:rsid w:val="005F55F8"/>
    <w:rsid w:val="005F6C8A"/>
    <w:rsid w:val="006015CA"/>
    <w:rsid w:val="00601B9F"/>
    <w:rsid w:val="00601F22"/>
    <w:rsid w:val="00601F2F"/>
    <w:rsid w:val="00603A0A"/>
    <w:rsid w:val="00604991"/>
    <w:rsid w:val="00604A6D"/>
    <w:rsid w:val="00605987"/>
    <w:rsid w:val="00611316"/>
    <w:rsid w:val="00614EDA"/>
    <w:rsid w:val="006160D9"/>
    <w:rsid w:val="00617ED0"/>
    <w:rsid w:val="006201EF"/>
    <w:rsid w:val="006216DB"/>
    <w:rsid w:val="0062186F"/>
    <w:rsid w:val="00622FFA"/>
    <w:rsid w:val="006238C9"/>
    <w:rsid w:val="006248A1"/>
    <w:rsid w:val="00625E5E"/>
    <w:rsid w:val="00626F6D"/>
    <w:rsid w:val="00630150"/>
    <w:rsid w:val="006302B7"/>
    <w:rsid w:val="00631504"/>
    <w:rsid w:val="0063761E"/>
    <w:rsid w:val="00640072"/>
    <w:rsid w:val="006420F1"/>
    <w:rsid w:val="00642100"/>
    <w:rsid w:val="00644617"/>
    <w:rsid w:val="00644F24"/>
    <w:rsid w:val="0064573F"/>
    <w:rsid w:val="00647263"/>
    <w:rsid w:val="006509BA"/>
    <w:rsid w:val="006537A2"/>
    <w:rsid w:val="00653B26"/>
    <w:rsid w:val="00655596"/>
    <w:rsid w:val="006569B1"/>
    <w:rsid w:val="006569E3"/>
    <w:rsid w:val="00657067"/>
    <w:rsid w:val="00657F74"/>
    <w:rsid w:val="00660148"/>
    <w:rsid w:val="006603D5"/>
    <w:rsid w:val="006608A4"/>
    <w:rsid w:val="00661B4A"/>
    <w:rsid w:val="00663EE1"/>
    <w:rsid w:val="00664149"/>
    <w:rsid w:val="006645FC"/>
    <w:rsid w:val="006660B8"/>
    <w:rsid w:val="00667878"/>
    <w:rsid w:val="00670791"/>
    <w:rsid w:val="006717BC"/>
    <w:rsid w:val="00673AB8"/>
    <w:rsid w:val="00674BA9"/>
    <w:rsid w:val="00674DBA"/>
    <w:rsid w:val="0067580F"/>
    <w:rsid w:val="006774AB"/>
    <w:rsid w:val="006832EA"/>
    <w:rsid w:val="006866DE"/>
    <w:rsid w:val="00686761"/>
    <w:rsid w:val="0069137B"/>
    <w:rsid w:val="0069403B"/>
    <w:rsid w:val="00696427"/>
    <w:rsid w:val="006975B0"/>
    <w:rsid w:val="006A07BF"/>
    <w:rsid w:val="006A1D58"/>
    <w:rsid w:val="006A3861"/>
    <w:rsid w:val="006A4A97"/>
    <w:rsid w:val="006B0272"/>
    <w:rsid w:val="006B1F63"/>
    <w:rsid w:val="006B207D"/>
    <w:rsid w:val="006B27F2"/>
    <w:rsid w:val="006B2F87"/>
    <w:rsid w:val="006B333E"/>
    <w:rsid w:val="006B7134"/>
    <w:rsid w:val="006C370C"/>
    <w:rsid w:val="006C5772"/>
    <w:rsid w:val="006D0DBC"/>
    <w:rsid w:val="006D1065"/>
    <w:rsid w:val="006D1D0C"/>
    <w:rsid w:val="006D290C"/>
    <w:rsid w:val="006D515D"/>
    <w:rsid w:val="006D5C0C"/>
    <w:rsid w:val="006D5EA9"/>
    <w:rsid w:val="006E1D5D"/>
    <w:rsid w:val="006E4784"/>
    <w:rsid w:val="006E5116"/>
    <w:rsid w:val="006E55D8"/>
    <w:rsid w:val="006E650E"/>
    <w:rsid w:val="006E7A75"/>
    <w:rsid w:val="006F16F9"/>
    <w:rsid w:val="006F1D87"/>
    <w:rsid w:val="006F2609"/>
    <w:rsid w:val="006F5B07"/>
    <w:rsid w:val="006F5B93"/>
    <w:rsid w:val="0070016E"/>
    <w:rsid w:val="00700285"/>
    <w:rsid w:val="0070040B"/>
    <w:rsid w:val="0070202A"/>
    <w:rsid w:val="00702890"/>
    <w:rsid w:val="00703003"/>
    <w:rsid w:val="00704E22"/>
    <w:rsid w:val="00706A90"/>
    <w:rsid w:val="00712F45"/>
    <w:rsid w:val="007149B8"/>
    <w:rsid w:val="00715579"/>
    <w:rsid w:val="007157A4"/>
    <w:rsid w:val="00716F2C"/>
    <w:rsid w:val="00717033"/>
    <w:rsid w:val="007224BB"/>
    <w:rsid w:val="00722E4B"/>
    <w:rsid w:val="00725BA8"/>
    <w:rsid w:val="00726930"/>
    <w:rsid w:val="00726F0B"/>
    <w:rsid w:val="0073027F"/>
    <w:rsid w:val="007302B6"/>
    <w:rsid w:val="00731444"/>
    <w:rsid w:val="007375AA"/>
    <w:rsid w:val="00742D1C"/>
    <w:rsid w:val="00742DA3"/>
    <w:rsid w:val="007435A4"/>
    <w:rsid w:val="007449E6"/>
    <w:rsid w:val="00746AB7"/>
    <w:rsid w:val="0075096F"/>
    <w:rsid w:val="0075573C"/>
    <w:rsid w:val="00755D69"/>
    <w:rsid w:val="00756788"/>
    <w:rsid w:val="00757A53"/>
    <w:rsid w:val="00760EE1"/>
    <w:rsid w:val="00767C8C"/>
    <w:rsid w:val="00772F51"/>
    <w:rsid w:val="007772D6"/>
    <w:rsid w:val="007800AF"/>
    <w:rsid w:val="00781B8A"/>
    <w:rsid w:val="00781F45"/>
    <w:rsid w:val="007832C2"/>
    <w:rsid w:val="00787F6C"/>
    <w:rsid w:val="00791174"/>
    <w:rsid w:val="007947DE"/>
    <w:rsid w:val="007A0D88"/>
    <w:rsid w:val="007A100E"/>
    <w:rsid w:val="007A2B3E"/>
    <w:rsid w:val="007A3DFE"/>
    <w:rsid w:val="007A5263"/>
    <w:rsid w:val="007B0B68"/>
    <w:rsid w:val="007B1AFA"/>
    <w:rsid w:val="007B47A7"/>
    <w:rsid w:val="007B4EA3"/>
    <w:rsid w:val="007B5C39"/>
    <w:rsid w:val="007C04B3"/>
    <w:rsid w:val="007C3558"/>
    <w:rsid w:val="007C3AB4"/>
    <w:rsid w:val="007C499D"/>
    <w:rsid w:val="007C6D42"/>
    <w:rsid w:val="007D1304"/>
    <w:rsid w:val="007D3208"/>
    <w:rsid w:val="007D3A7D"/>
    <w:rsid w:val="007D419E"/>
    <w:rsid w:val="007D6A88"/>
    <w:rsid w:val="007D7517"/>
    <w:rsid w:val="007E0566"/>
    <w:rsid w:val="007E1F33"/>
    <w:rsid w:val="007E2CC7"/>
    <w:rsid w:val="007E48E8"/>
    <w:rsid w:val="007E4984"/>
    <w:rsid w:val="007E61C6"/>
    <w:rsid w:val="007E651F"/>
    <w:rsid w:val="007E71A6"/>
    <w:rsid w:val="007F1600"/>
    <w:rsid w:val="007F261E"/>
    <w:rsid w:val="007F4F1F"/>
    <w:rsid w:val="007F53AB"/>
    <w:rsid w:val="00803752"/>
    <w:rsid w:val="00803C5D"/>
    <w:rsid w:val="0080429A"/>
    <w:rsid w:val="00804B00"/>
    <w:rsid w:val="00806D3B"/>
    <w:rsid w:val="00811EF2"/>
    <w:rsid w:val="008137CD"/>
    <w:rsid w:val="00817675"/>
    <w:rsid w:val="0081798D"/>
    <w:rsid w:val="00820CF5"/>
    <w:rsid w:val="00823228"/>
    <w:rsid w:val="00823454"/>
    <w:rsid w:val="008238E9"/>
    <w:rsid w:val="008258E9"/>
    <w:rsid w:val="0082641B"/>
    <w:rsid w:val="00827507"/>
    <w:rsid w:val="0083094D"/>
    <w:rsid w:val="00830EC8"/>
    <w:rsid w:val="0083126D"/>
    <w:rsid w:val="008342C3"/>
    <w:rsid w:val="0083589B"/>
    <w:rsid w:val="00837ED8"/>
    <w:rsid w:val="008455B2"/>
    <w:rsid w:val="00853028"/>
    <w:rsid w:val="0085350B"/>
    <w:rsid w:val="00853AC3"/>
    <w:rsid w:val="00854216"/>
    <w:rsid w:val="00854B3D"/>
    <w:rsid w:val="00854F8B"/>
    <w:rsid w:val="0085565C"/>
    <w:rsid w:val="00855908"/>
    <w:rsid w:val="008602E1"/>
    <w:rsid w:val="0086098E"/>
    <w:rsid w:val="00860A1B"/>
    <w:rsid w:val="00860D81"/>
    <w:rsid w:val="00861239"/>
    <w:rsid w:val="0086285F"/>
    <w:rsid w:val="00862A61"/>
    <w:rsid w:val="00863729"/>
    <w:rsid w:val="00867F2F"/>
    <w:rsid w:val="00873B4C"/>
    <w:rsid w:val="00873BB1"/>
    <w:rsid w:val="00874C5C"/>
    <w:rsid w:val="008760AF"/>
    <w:rsid w:val="00876388"/>
    <w:rsid w:val="00883098"/>
    <w:rsid w:val="0088320B"/>
    <w:rsid w:val="00884F31"/>
    <w:rsid w:val="00885869"/>
    <w:rsid w:val="00887E62"/>
    <w:rsid w:val="00890843"/>
    <w:rsid w:val="008940FB"/>
    <w:rsid w:val="0089431B"/>
    <w:rsid w:val="0089485A"/>
    <w:rsid w:val="008A0425"/>
    <w:rsid w:val="008A0BB3"/>
    <w:rsid w:val="008A1019"/>
    <w:rsid w:val="008B026D"/>
    <w:rsid w:val="008B0592"/>
    <w:rsid w:val="008B0F29"/>
    <w:rsid w:val="008B0F37"/>
    <w:rsid w:val="008B3D7A"/>
    <w:rsid w:val="008B5572"/>
    <w:rsid w:val="008B5739"/>
    <w:rsid w:val="008B6925"/>
    <w:rsid w:val="008C0820"/>
    <w:rsid w:val="008C16A7"/>
    <w:rsid w:val="008C1C02"/>
    <w:rsid w:val="008C2E1C"/>
    <w:rsid w:val="008C5094"/>
    <w:rsid w:val="008C59BD"/>
    <w:rsid w:val="008C680F"/>
    <w:rsid w:val="008C6949"/>
    <w:rsid w:val="008D0960"/>
    <w:rsid w:val="008D0CBD"/>
    <w:rsid w:val="008D1AEC"/>
    <w:rsid w:val="008D4A8F"/>
    <w:rsid w:val="008D4EDE"/>
    <w:rsid w:val="008D5022"/>
    <w:rsid w:val="008D669C"/>
    <w:rsid w:val="008D7F33"/>
    <w:rsid w:val="008E1755"/>
    <w:rsid w:val="008E2692"/>
    <w:rsid w:val="008F296F"/>
    <w:rsid w:val="008F2FC8"/>
    <w:rsid w:val="008F3B26"/>
    <w:rsid w:val="008F7C02"/>
    <w:rsid w:val="0090450B"/>
    <w:rsid w:val="0090535D"/>
    <w:rsid w:val="00905926"/>
    <w:rsid w:val="0090666A"/>
    <w:rsid w:val="00913C46"/>
    <w:rsid w:val="009141F0"/>
    <w:rsid w:val="009147BE"/>
    <w:rsid w:val="00916308"/>
    <w:rsid w:val="00917060"/>
    <w:rsid w:val="009173B9"/>
    <w:rsid w:val="00917C1C"/>
    <w:rsid w:val="00917F72"/>
    <w:rsid w:val="00920574"/>
    <w:rsid w:val="0092234A"/>
    <w:rsid w:val="00922665"/>
    <w:rsid w:val="009234AA"/>
    <w:rsid w:val="00924C09"/>
    <w:rsid w:val="00927413"/>
    <w:rsid w:val="0092799E"/>
    <w:rsid w:val="00930072"/>
    <w:rsid w:val="009306E6"/>
    <w:rsid w:val="00931D7D"/>
    <w:rsid w:val="009366D4"/>
    <w:rsid w:val="009514CB"/>
    <w:rsid w:val="00952A20"/>
    <w:rsid w:val="009606FB"/>
    <w:rsid w:val="00961551"/>
    <w:rsid w:val="00961707"/>
    <w:rsid w:val="00964CCB"/>
    <w:rsid w:val="0096686B"/>
    <w:rsid w:val="00967137"/>
    <w:rsid w:val="00967CE0"/>
    <w:rsid w:val="009721A1"/>
    <w:rsid w:val="00972BC7"/>
    <w:rsid w:val="00973B46"/>
    <w:rsid w:val="009748BE"/>
    <w:rsid w:val="00974BA5"/>
    <w:rsid w:val="009806D3"/>
    <w:rsid w:val="00980FF6"/>
    <w:rsid w:val="00982F84"/>
    <w:rsid w:val="009844EE"/>
    <w:rsid w:val="0098541B"/>
    <w:rsid w:val="00991A4D"/>
    <w:rsid w:val="00992F51"/>
    <w:rsid w:val="00993AE3"/>
    <w:rsid w:val="00994140"/>
    <w:rsid w:val="00994AA7"/>
    <w:rsid w:val="0099668C"/>
    <w:rsid w:val="00996EB6"/>
    <w:rsid w:val="0099713B"/>
    <w:rsid w:val="00997381"/>
    <w:rsid w:val="009A13D0"/>
    <w:rsid w:val="009A1770"/>
    <w:rsid w:val="009A527E"/>
    <w:rsid w:val="009A70DC"/>
    <w:rsid w:val="009A7909"/>
    <w:rsid w:val="009B1543"/>
    <w:rsid w:val="009B3082"/>
    <w:rsid w:val="009B3A16"/>
    <w:rsid w:val="009B61A2"/>
    <w:rsid w:val="009B714B"/>
    <w:rsid w:val="009C7E9B"/>
    <w:rsid w:val="009D0FF0"/>
    <w:rsid w:val="009D2277"/>
    <w:rsid w:val="009D377A"/>
    <w:rsid w:val="009D42F8"/>
    <w:rsid w:val="009E0B55"/>
    <w:rsid w:val="009E1B71"/>
    <w:rsid w:val="009E1E97"/>
    <w:rsid w:val="009E24B9"/>
    <w:rsid w:val="009E2D31"/>
    <w:rsid w:val="009E4618"/>
    <w:rsid w:val="009E5330"/>
    <w:rsid w:val="009F06A7"/>
    <w:rsid w:val="009F53C3"/>
    <w:rsid w:val="009F65BD"/>
    <w:rsid w:val="00A009E8"/>
    <w:rsid w:val="00A011FC"/>
    <w:rsid w:val="00A01D63"/>
    <w:rsid w:val="00A05B05"/>
    <w:rsid w:val="00A06088"/>
    <w:rsid w:val="00A072D8"/>
    <w:rsid w:val="00A10CB4"/>
    <w:rsid w:val="00A11877"/>
    <w:rsid w:val="00A11BB9"/>
    <w:rsid w:val="00A11EF5"/>
    <w:rsid w:val="00A12405"/>
    <w:rsid w:val="00A12A95"/>
    <w:rsid w:val="00A12CBD"/>
    <w:rsid w:val="00A13BCD"/>
    <w:rsid w:val="00A170BC"/>
    <w:rsid w:val="00A25FDE"/>
    <w:rsid w:val="00A26861"/>
    <w:rsid w:val="00A31A98"/>
    <w:rsid w:val="00A323F7"/>
    <w:rsid w:val="00A334A3"/>
    <w:rsid w:val="00A3450E"/>
    <w:rsid w:val="00A34D72"/>
    <w:rsid w:val="00A36CF0"/>
    <w:rsid w:val="00A375E9"/>
    <w:rsid w:val="00A37F95"/>
    <w:rsid w:val="00A458C6"/>
    <w:rsid w:val="00A45D48"/>
    <w:rsid w:val="00A47FB6"/>
    <w:rsid w:val="00A5166B"/>
    <w:rsid w:val="00A51B66"/>
    <w:rsid w:val="00A53F0B"/>
    <w:rsid w:val="00A546AC"/>
    <w:rsid w:val="00A54F8B"/>
    <w:rsid w:val="00A57424"/>
    <w:rsid w:val="00A628CD"/>
    <w:rsid w:val="00A62B2A"/>
    <w:rsid w:val="00A63666"/>
    <w:rsid w:val="00A63FFC"/>
    <w:rsid w:val="00A66826"/>
    <w:rsid w:val="00A66DC2"/>
    <w:rsid w:val="00A675F9"/>
    <w:rsid w:val="00A70DC8"/>
    <w:rsid w:val="00A72C08"/>
    <w:rsid w:val="00A730DA"/>
    <w:rsid w:val="00A73214"/>
    <w:rsid w:val="00A7343F"/>
    <w:rsid w:val="00A73E39"/>
    <w:rsid w:val="00A755DC"/>
    <w:rsid w:val="00A76F81"/>
    <w:rsid w:val="00A802AB"/>
    <w:rsid w:val="00A827E4"/>
    <w:rsid w:val="00A82A74"/>
    <w:rsid w:val="00A82D21"/>
    <w:rsid w:val="00A834DB"/>
    <w:rsid w:val="00A900F1"/>
    <w:rsid w:val="00A90343"/>
    <w:rsid w:val="00A90DE8"/>
    <w:rsid w:val="00A939EE"/>
    <w:rsid w:val="00A94357"/>
    <w:rsid w:val="00A945D1"/>
    <w:rsid w:val="00A9613E"/>
    <w:rsid w:val="00AA0915"/>
    <w:rsid w:val="00AA0C5B"/>
    <w:rsid w:val="00AA202F"/>
    <w:rsid w:val="00AA4D02"/>
    <w:rsid w:val="00AA4F8A"/>
    <w:rsid w:val="00AA7E76"/>
    <w:rsid w:val="00AB364F"/>
    <w:rsid w:val="00AB3FD6"/>
    <w:rsid w:val="00AB41BE"/>
    <w:rsid w:val="00AB7276"/>
    <w:rsid w:val="00AC1B55"/>
    <w:rsid w:val="00AC33DE"/>
    <w:rsid w:val="00AC399D"/>
    <w:rsid w:val="00AC3F97"/>
    <w:rsid w:val="00AC7FE4"/>
    <w:rsid w:val="00AD05F1"/>
    <w:rsid w:val="00AD58D7"/>
    <w:rsid w:val="00AD6BE6"/>
    <w:rsid w:val="00AE05F2"/>
    <w:rsid w:val="00AE20C1"/>
    <w:rsid w:val="00AE4720"/>
    <w:rsid w:val="00AE6AE2"/>
    <w:rsid w:val="00AF1F22"/>
    <w:rsid w:val="00AF2133"/>
    <w:rsid w:val="00AF23BD"/>
    <w:rsid w:val="00B013F7"/>
    <w:rsid w:val="00B02E48"/>
    <w:rsid w:val="00B02E64"/>
    <w:rsid w:val="00B03BB9"/>
    <w:rsid w:val="00B04AA9"/>
    <w:rsid w:val="00B04D3C"/>
    <w:rsid w:val="00B06935"/>
    <w:rsid w:val="00B107E6"/>
    <w:rsid w:val="00B11BA4"/>
    <w:rsid w:val="00B133EB"/>
    <w:rsid w:val="00B14704"/>
    <w:rsid w:val="00B15919"/>
    <w:rsid w:val="00B15B82"/>
    <w:rsid w:val="00B20351"/>
    <w:rsid w:val="00B20996"/>
    <w:rsid w:val="00B21E51"/>
    <w:rsid w:val="00B22ABB"/>
    <w:rsid w:val="00B22C75"/>
    <w:rsid w:val="00B22D0B"/>
    <w:rsid w:val="00B251B4"/>
    <w:rsid w:val="00B254F3"/>
    <w:rsid w:val="00B2721E"/>
    <w:rsid w:val="00B30D79"/>
    <w:rsid w:val="00B31237"/>
    <w:rsid w:val="00B31D1D"/>
    <w:rsid w:val="00B327B2"/>
    <w:rsid w:val="00B32FCE"/>
    <w:rsid w:val="00B332D8"/>
    <w:rsid w:val="00B35413"/>
    <w:rsid w:val="00B36095"/>
    <w:rsid w:val="00B364D4"/>
    <w:rsid w:val="00B400C5"/>
    <w:rsid w:val="00B401F6"/>
    <w:rsid w:val="00B4284B"/>
    <w:rsid w:val="00B429D0"/>
    <w:rsid w:val="00B43130"/>
    <w:rsid w:val="00B43ADE"/>
    <w:rsid w:val="00B447AB"/>
    <w:rsid w:val="00B51809"/>
    <w:rsid w:val="00B520A2"/>
    <w:rsid w:val="00B546A7"/>
    <w:rsid w:val="00B55515"/>
    <w:rsid w:val="00B5568D"/>
    <w:rsid w:val="00B56671"/>
    <w:rsid w:val="00B56831"/>
    <w:rsid w:val="00B56F16"/>
    <w:rsid w:val="00B61B8C"/>
    <w:rsid w:val="00B62871"/>
    <w:rsid w:val="00B631BE"/>
    <w:rsid w:val="00B64DEE"/>
    <w:rsid w:val="00B6629A"/>
    <w:rsid w:val="00B67253"/>
    <w:rsid w:val="00B701FD"/>
    <w:rsid w:val="00B70789"/>
    <w:rsid w:val="00B70B0E"/>
    <w:rsid w:val="00B7122E"/>
    <w:rsid w:val="00B749DC"/>
    <w:rsid w:val="00B74F97"/>
    <w:rsid w:val="00B7791D"/>
    <w:rsid w:val="00B80BEB"/>
    <w:rsid w:val="00B83DAF"/>
    <w:rsid w:val="00B84750"/>
    <w:rsid w:val="00B90B7D"/>
    <w:rsid w:val="00B93812"/>
    <w:rsid w:val="00B93BDC"/>
    <w:rsid w:val="00B96DEF"/>
    <w:rsid w:val="00B973CE"/>
    <w:rsid w:val="00BA0EED"/>
    <w:rsid w:val="00BA5136"/>
    <w:rsid w:val="00BA5725"/>
    <w:rsid w:val="00BA6760"/>
    <w:rsid w:val="00BA6CF9"/>
    <w:rsid w:val="00BB08BC"/>
    <w:rsid w:val="00BC1791"/>
    <w:rsid w:val="00BC2142"/>
    <w:rsid w:val="00BC31C9"/>
    <w:rsid w:val="00BC3706"/>
    <w:rsid w:val="00BC3F9B"/>
    <w:rsid w:val="00BC41EA"/>
    <w:rsid w:val="00BC5C95"/>
    <w:rsid w:val="00BD037C"/>
    <w:rsid w:val="00BD10E4"/>
    <w:rsid w:val="00BD126D"/>
    <w:rsid w:val="00BD2DE7"/>
    <w:rsid w:val="00BD3DB9"/>
    <w:rsid w:val="00BD6E63"/>
    <w:rsid w:val="00BE0C5C"/>
    <w:rsid w:val="00BE2B13"/>
    <w:rsid w:val="00BE2B82"/>
    <w:rsid w:val="00BE308B"/>
    <w:rsid w:val="00BE3536"/>
    <w:rsid w:val="00BE3624"/>
    <w:rsid w:val="00BE4BBE"/>
    <w:rsid w:val="00BE695F"/>
    <w:rsid w:val="00BF29D9"/>
    <w:rsid w:val="00BF41DE"/>
    <w:rsid w:val="00BF633B"/>
    <w:rsid w:val="00BF65F8"/>
    <w:rsid w:val="00BF7179"/>
    <w:rsid w:val="00BF7801"/>
    <w:rsid w:val="00C01BEE"/>
    <w:rsid w:val="00C02785"/>
    <w:rsid w:val="00C032D8"/>
    <w:rsid w:val="00C0360E"/>
    <w:rsid w:val="00C061BF"/>
    <w:rsid w:val="00C11088"/>
    <w:rsid w:val="00C13BB9"/>
    <w:rsid w:val="00C16BA9"/>
    <w:rsid w:val="00C17B0B"/>
    <w:rsid w:val="00C2170B"/>
    <w:rsid w:val="00C21968"/>
    <w:rsid w:val="00C21C3D"/>
    <w:rsid w:val="00C22036"/>
    <w:rsid w:val="00C23033"/>
    <w:rsid w:val="00C27D15"/>
    <w:rsid w:val="00C31BED"/>
    <w:rsid w:val="00C3376E"/>
    <w:rsid w:val="00C34304"/>
    <w:rsid w:val="00C377E2"/>
    <w:rsid w:val="00C37D57"/>
    <w:rsid w:val="00C41312"/>
    <w:rsid w:val="00C41B7D"/>
    <w:rsid w:val="00C42D93"/>
    <w:rsid w:val="00C445DB"/>
    <w:rsid w:val="00C46D7F"/>
    <w:rsid w:val="00C47008"/>
    <w:rsid w:val="00C472B6"/>
    <w:rsid w:val="00C50BD5"/>
    <w:rsid w:val="00C5145D"/>
    <w:rsid w:val="00C51DF2"/>
    <w:rsid w:val="00C5239D"/>
    <w:rsid w:val="00C52A80"/>
    <w:rsid w:val="00C53113"/>
    <w:rsid w:val="00C53350"/>
    <w:rsid w:val="00C5389D"/>
    <w:rsid w:val="00C562C0"/>
    <w:rsid w:val="00C5783C"/>
    <w:rsid w:val="00C60C13"/>
    <w:rsid w:val="00C62073"/>
    <w:rsid w:val="00C637B6"/>
    <w:rsid w:val="00C65115"/>
    <w:rsid w:val="00C65F89"/>
    <w:rsid w:val="00C670A9"/>
    <w:rsid w:val="00C6772F"/>
    <w:rsid w:val="00C67F1C"/>
    <w:rsid w:val="00C7159A"/>
    <w:rsid w:val="00C72C96"/>
    <w:rsid w:val="00C77E02"/>
    <w:rsid w:val="00C80CB7"/>
    <w:rsid w:val="00C81784"/>
    <w:rsid w:val="00C83FF0"/>
    <w:rsid w:val="00C847AF"/>
    <w:rsid w:val="00C87FA9"/>
    <w:rsid w:val="00C92AB1"/>
    <w:rsid w:val="00C92C50"/>
    <w:rsid w:val="00C94F51"/>
    <w:rsid w:val="00C9652A"/>
    <w:rsid w:val="00C966D9"/>
    <w:rsid w:val="00C97295"/>
    <w:rsid w:val="00C97FBB"/>
    <w:rsid w:val="00CA07EC"/>
    <w:rsid w:val="00CA28F9"/>
    <w:rsid w:val="00CA46E0"/>
    <w:rsid w:val="00CA7864"/>
    <w:rsid w:val="00CB0037"/>
    <w:rsid w:val="00CB0230"/>
    <w:rsid w:val="00CB175B"/>
    <w:rsid w:val="00CB1C08"/>
    <w:rsid w:val="00CB240A"/>
    <w:rsid w:val="00CB50A6"/>
    <w:rsid w:val="00CB6FD1"/>
    <w:rsid w:val="00CB7A9F"/>
    <w:rsid w:val="00CC1290"/>
    <w:rsid w:val="00CC1C8A"/>
    <w:rsid w:val="00CC2365"/>
    <w:rsid w:val="00CC357D"/>
    <w:rsid w:val="00CC492D"/>
    <w:rsid w:val="00CC5092"/>
    <w:rsid w:val="00CD01C1"/>
    <w:rsid w:val="00CD1E78"/>
    <w:rsid w:val="00CD1F4A"/>
    <w:rsid w:val="00CD21DF"/>
    <w:rsid w:val="00CD2969"/>
    <w:rsid w:val="00CD2B4A"/>
    <w:rsid w:val="00CD513C"/>
    <w:rsid w:val="00CD5CCD"/>
    <w:rsid w:val="00CD725E"/>
    <w:rsid w:val="00CE08C9"/>
    <w:rsid w:val="00CE116D"/>
    <w:rsid w:val="00CE149D"/>
    <w:rsid w:val="00CE1CAA"/>
    <w:rsid w:val="00CE6479"/>
    <w:rsid w:val="00CE6A3E"/>
    <w:rsid w:val="00D003EB"/>
    <w:rsid w:val="00D0091A"/>
    <w:rsid w:val="00D01310"/>
    <w:rsid w:val="00D02A75"/>
    <w:rsid w:val="00D04610"/>
    <w:rsid w:val="00D05E1C"/>
    <w:rsid w:val="00D06CCA"/>
    <w:rsid w:val="00D07798"/>
    <w:rsid w:val="00D12772"/>
    <w:rsid w:val="00D13E84"/>
    <w:rsid w:val="00D14507"/>
    <w:rsid w:val="00D151E4"/>
    <w:rsid w:val="00D15230"/>
    <w:rsid w:val="00D20276"/>
    <w:rsid w:val="00D20BB7"/>
    <w:rsid w:val="00D218BC"/>
    <w:rsid w:val="00D22C80"/>
    <w:rsid w:val="00D2324B"/>
    <w:rsid w:val="00D2340B"/>
    <w:rsid w:val="00D23706"/>
    <w:rsid w:val="00D25541"/>
    <w:rsid w:val="00D25CED"/>
    <w:rsid w:val="00D31136"/>
    <w:rsid w:val="00D31A21"/>
    <w:rsid w:val="00D31AF7"/>
    <w:rsid w:val="00D31E95"/>
    <w:rsid w:val="00D33E07"/>
    <w:rsid w:val="00D35393"/>
    <w:rsid w:val="00D3656A"/>
    <w:rsid w:val="00D40143"/>
    <w:rsid w:val="00D41A3C"/>
    <w:rsid w:val="00D43655"/>
    <w:rsid w:val="00D4566C"/>
    <w:rsid w:val="00D45C9A"/>
    <w:rsid w:val="00D45D22"/>
    <w:rsid w:val="00D462E4"/>
    <w:rsid w:val="00D4712C"/>
    <w:rsid w:val="00D47D93"/>
    <w:rsid w:val="00D50247"/>
    <w:rsid w:val="00D50584"/>
    <w:rsid w:val="00D513EE"/>
    <w:rsid w:val="00D51840"/>
    <w:rsid w:val="00D51CCA"/>
    <w:rsid w:val="00D52C54"/>
    <w:rsid w:val="00D56747"/>
    <w:rsid w:val="00D56AA6"/>
    <w:rsid w:val="00D56E59"/>
    <w:rsid w:val="00D60375"/>
    <w:rsid w:val="00D606C4"/>
    <w:rsid w:val="00D66628"/>
    <w:rsid w:val="00D66FF3"/>
    <w:rsid w:val="00D677EA"/>
    <w:rsid w:val="00D71E34"/>
    <w:rsid w:val="00D74059"/>
    <w:rsid w:val="00D7493F"/>
    <w:rsid w:val="00D74D58"/>
    <w:rsid w:val="00D766F9"/>
    <w:rsid w:val="00D7692F"/>
    <w:rsid w:val="00D77C72"/>
    <w:rsid w:val="00D814AD"/>
    <w:rsid w:val="00D83B3B"/>
    <w:rsid w:val="00D84A21"/>
    <w:rsid w:val="00D84E8E"/>
    <w:rsid w:val="00D86B02"/>
    <w:rsid w:val="00D90810"/>
    <w:rsid w:val="00D921DC"/>
    <w:rsid w:val="00D92670"/>
    <w:rsid w:val="00D94321"/>
    <w:rsid w:val="00D945F3"/>
    <w:rsid w:val="00D94891"/>
    <w:rsid w:val="00D97DBB"/>
    <w:rsid w:val="00DA1E07"/>
    <w:rsid w:val="00DA451E"/>
    <w:rsid w:val="00DA5511"/>
    <w:rsid w:val="00DA6879"/>
    <w:rsid w:val="00DA764D"/>
    <w:rsid w:val="00DB0B3C"/>
    <w:rsid w:val="00DB25FB"/>
    <w:rsid w:val="00DB3E06"/>
    <w:rsid w:val="00DB40FF"/>
    <w:rsid w:val="00DB4B10"/>
    <w:rsid w:val="00DB555F"/>
    <w:rsid w:val="00DB64D6"/>
    <w:rsid w:val="00DB7C6E"/>
    <w:rsid w:val="00DC074C"/>
    <w:rsid w:val="00DC118A"/>
    <w:rsid w:val="00DC184B"/>
    <w:rsid w:val="00DC24CD"/>
    <w:rsid w:val="00DC4A64"/>
    <w:rsid w:val="00DC5226"/>
    <w:rsid w:val="00DC78E2"/>
    <w:rsid w:val="00DC7DF9"/>
    <w:rsid w:val="00DD0DEE"/>
    <w:rsid w:val="00DD1402"/>
    <w:rsid w:val="00DD4018"/>
    <w:rsid w:val="00DD4ADD"/>
    <w:rsid w:val="00DD7B03"/>
    <w:rsid w:val="00DE2263"/>
    <w:rsid w:val="00DE2275"/>
    <w:rsid w:val="00DE43AE"/>
    <w:rsid w:val="00DE4943"/>
    <w:rsid w:val="00DE77CB"/>
    <w:rsid w:val="00DF179D"/>
    <w:rsid w:val="00DF3A33"/>
    <w:rsid w:val="00DF3E0B"/>
    <w:rsid w:val="00DF499A"/>
    <w:rsid w:val="00DF788C"/>
    <w:rsid w:val="00E022B7"/>
    <w:rsid w:val="00E06381"/>
    <w:rsid w:val="00E12B6F"/>
    <w:rsid w:val="00E12F2D"/>
    <w:rsid w:val="00E1462D"/>
    <w:rsid w:val="00E162B7"/>
    <w:rsid w:val="00E2039E"/>
    <w:rsid w:val="00E252C1"/>
    <w:rsid w:val="00E254EC"/>
    <w:rsid w:val="00E26452"/>
    <w:rsid w:val="00E26701"/>
    <w:rsid w:val="00E26A64"/>
    <w:rsid w:val="00E32791"/>
    <w:rsid w:val="00E327E3"/>
    <w:rsid w:val="00E3335E"/>
    <w:rsid w:val="00E333EB"/>
    <w:rsid w:val="00E346A4"/>
    <w:rsid w:val="00E35761"/>
    <w:rsid w:val="00E361D5"/>
    <w:rsid w:val="00E36B4D"/>
    <w:rsid w:val="00E37333"/>
    <w:rsid w:val="00E40598"/>
    <w:rsid w:val="00E41F87"/>
    <w:rsid w:val="00E437D5"/>
    <w:rsid w:val="00E458A6"/>
    <w:rsid w:val="00E46281"/>
    <w:rsid w:val="00E4769B"/>
    <w:rsid w:val="00E52B7D"/>
    <w:rsid w:val="00E532E5"/>
    <w:rsid w:val="00E53520"/>
    <w:rsid w:val="00E53E56"/>
    <w:rsid w:val="00E5433C"/>
    <w:rsid w:val="00E561BD"/>
    <w:rsid w:val="00E64538"/>
    <w:rsid w:val="00E65FB4"/>
    <w:rsid w:val="00E66D31"/>
    <w:rsid w:val="00E673FD"/>
    <w:rsid w:val="00E67F1B"/>
    <w:rsid w:val="00E7095F"/>
    <w:rsid w:val="00E721EE"/>
    <w:rsid w:val="00E72A00"/>
    <w:rsid w:val="00E73710"/>
    <w:rsid w:val="00E80E6D"/>
    <w:rsid w:val="00E81AB6"/>
    <w:rsid w:val="00E859DC"/>
    <w:rsid w:val="00E87230"/>
    <w:rsid w:val="00E87252"/>
    <w:rsid w:val="00E90311"/>
    <w:rsid w:val="00E905D4"/>
    <w:rsid w:val="00E94F2C"/>
    <w:rsid w:val="00EA25E7"/>
    <w:rsid w:val="00EA26FE"/>
    <w:rsid w:val="00EA340C"/>
    <w:rsid w:val="00EA60C6"/>
    <w:rsid w:val="00EA63A1"/>
    <w:rsid w:val="00EA66AF"/>
    <w:rsid w:val="00EA6B08"/>
    <w:rsid w:val="00EB0CD7"/>
    <w:rsid w:val="00EB2DEA"/>
    <w:rsid w:val="00EC14C0"/>
    <w:rsid w:val="00EC3A70"/>
    <w:rsid w:val="00EC3DA7"/>
    <w:rsid w:val="00EC640A"/>
    <w:rsid w:val="00EC6F33"/>
    <w:rsid w:val="00ED10E9"/>
    <w:rsid w:val="00ED1544"/>
    <w:rsid w:val="00ED16E5"/>
    <w:rsid w:val="00ED2DDA"/>
    <w:rsid w:val="00ED3E51"/>
    <w:rsid w:val="00ED5A97"/>
    <w:rsid w:val="00ED5D1D"/>
    <w:rsid w:val="00ED5DD9"/>
    <w:rsid w:val="00ED6BCE"/>
    <w:rsid w:val="00ED7A59"/>
    <w:rsid w:val="00EE41C1"/>
    <w:rsid w:val="00EE507C"/>
    <w:rsid w:val="00EE58F2"/>
    <w:rsid w:val="00EE68BC"/>
    <w:rsid w:val="00EF1397"/>
    <w:rsid w:val="00EF29DB"/>
    <w:rsid w:val="00EF3133"/>
    <w:rsid w:val="00EF41F3"/>
    <w:rsid w:val="00EF53BA"/>
    <w:rsid w:val="00EF5A3B"/>
    <w:rsid w:val="00EF5BCF"/>
    <w:rsid w:val="00EF643A"/>
    <w:rsid w:val="00EF6D69"/>
    <w:rsid w:val="00EF7460"/>
    <w:rsid w:val="00F03DC8"/>
    <w:rsid w:val="00F046F5"/>
    <w:rsid w:val="00F072DA"/>
    <w:rsid w:val="00F07BA8"/>
    <w:rsid w:val="00F10257"/>
    <w:rsid w:val="00F11094"/>
    <w:rsid w:val="00F12AA9"/>
    <w:rsid w:val="00F13522"/>
    <w:rsid w:val="00F151EB"/>
    <w:rsid w:val="00F15726"/>
    <w:rsid w:val="00F15B3A"/>
    <w:rsid w:val="00F1677D"/>
    <w:rsid w:val="00F21610"/>
    <w:rsid w:val="00F231B0"/>
    <w:rsid w:val="00F30438"/>
    <w:rsid w:val="00F32863"/>
    <w:rsid w:val="00F3644B"/>
    <w:rsid w:val="00F4190C"/>
    <w:rsid w:val="00F42712"/>
    <w:rsid w:val="00F44C97"/>
    <w:rsid w:val="00F47D3F"/>
    <w:rsid w:val="00F507AE"/>
    <w:rsid w:val="00F51623"/>
    <w:rsid w:val="00F51BDE"/>
    <w:rsid w:val="00F52CE7"/>
    <w:rsid w:val="00F52D19"/>
    <w:rsid w:val="00F539A1"/>
    <w:rsid w:val="00F5477D"/>
    <w:rsid w:val="00F630EC"/>
    <w:rsid w:val="00F63F7C"/>
    <w:rsid w:val="00F66287"/>
    <w:rsid w:val="00F70367"/>
    <w:rsid w:val="00F703FA"/>
    <w:rsid w:val="00F70C99"/>
    <w:rsid w:val="00F71A48"/>
    <w:rsid w:val="00F746D3"/>
    <w:rsid w:val="00F76E23"/>
    <w:rsid w:val="00F94C3F"/>
    <w:rsid w:val="00F954C7"/>
    <w:rsid w:val="00FA090E"/>
    <w:rsid w:val="00FA1245"/>
    <w:rsid w:val="00FA264A"/>
    <w:rsid w:val="00FA46DA"/>
    <w:rsid w:val="00FA6042"/>
    <w:rsid w:val="00FA71CC"/>
    <w:rsid w:val="00FB123B"/>
    <w:rsid w:val="00FB3BE6"/>
    <w:rsid w:val="00FB3F21"/>
    <w:rsid w:val="00FB41C9"/>
    <w:rsid w:val="00FB4561"/>
    <w:rsid w:val="00FB54FB"/>
    <w:rsid w:val="00FB6818"/>
    <w:rsid w:val="00FC3AA4"/>
    <w:rsid w:val="00FC5431"/>
    <w:rsid w:val="00FD0A54"/>
    <w:rsid w:val="00FD3D32"/>
    <w:rsid w:val="00FD5C6D"/>
    <w:rsid w:val="00FD7CF5"/>
    <w:rsid w:val="00FE0158"/>
    <w:rsid w:val="00FE1502"/>
    <w:rsid w:val="00FE3F46"/>
    <w:rsid w:val="00FE5805"/>
    <w:rsid w:val="00FE664F"/>
    <w:rsid w:val="00FE68C3"/>
    <w:rsid w:val="00FF33A0"/>
    <w:rsid w:val="00FF5F7C"/>
    <w:rsid w:val="00FF6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2998"/>
  <w15:docId w15:val="{28A49032-17FD-40B1-BA90-77674CD6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A46D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FA46D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304A9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5,punktowane_snoroa,Numerowanie,Kolorowa lista — akcent 11,Akapit z listą BS,List Paragraph,Obiekt,List Paragraph1,BulletC,normalny tekst,Akapit z listą11,sw tekst"/>
    <w:basedOn w:val="Normalny"/>
    <w:link w:val="AkapitzlistZnak"/>
    <w:uiPriority w:val="34"/>
    <w:qFormat/>
    <w:rsid w:val="009173B9"/>
    <w:pPr>
      <w:ind w:left="720"/>
      <w:contextualSpacing/>
    </w:pPr>
  </w:style>
  <w:style w:type="paragraph" w:styleId="Tekstprzypisukocowego">
    <w:name w:val="endnote text"/>
    <w:basedOn w:val="Normalny"/>
    <w:link w:val="TekstprzypisukocowegoZnak"/>
    <w:uiPriority w:val="99"/>
    <w:semiHidden/>
    <w:unhideWhenUsed/>
    <w:rsid w:val="007B5C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5C39"/>
    <w:rPr>
      <w:sz w:val="20"/>
      <w:szCs w:val="20"/>
    </w:rPr>
  </w:style>
  <w:style w:type="character" w:styleId="Odwoanieprzypisukocowego">
    <w:name w:val="endnote reference"/>
    <w:basedOn w:val="Domylnaczcionkaakapitu"/>
    <w:uiPriority w:val="99"/>
    <w:semiHidden/>
    <w:unhideWhenUsed/>
    <w:rsid w:val="007B5C39"/>
    <w:rPr>
      <w:vertAlign w:val="superscript"/>
    </w:rPr>
  </w:style>
  <w:style w:type="table" w:styleId="Tabela-Siatka">
    <w:name w:val="Table Grid"/>
    <w:basedOn w:val="Standardowy"/>
    <w:uiPriority w:val="39"/>
    <w:rsid w:val="00743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A60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6042"/>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Fußnote,Znak,o,fn"/>
    <w:basedOn w:val="Normalny"/>
    <w:link w:val="TekstprzypisudolnegoZnak"/>
    <w:uiPriority w:val="99"/>
    <w:unhideWhenUsed/>
    <w:qFormat/>
    <w:rsid w:val="003E29EB"/>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ootnote text Znak"/>
    <w:basedOn w:val="Domylnaczcionkaakapitu"/>
    <w:link w:val="Tekstprzypisudolnego"/>
    <w:uiPriority w:val="99"/>
    <w:rsid w:val="003E29EB"/>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basedOn w:val="Domylnaczcionkaakapitu"/>
    <w:uiPriority w:val="99"/>
    <w:unhideWhenUsed/>
    <w:rsid w:val="003E29EB"/>
    <w:rPr>
      <w:vertAlign w:val="superscript"/>
    </w:rPr>
  </w:style>
  <w:style w:type="character" w:styleId="Odwoaniedokomentarza">
    <w:name w:val="annotation reference"/>
    <w:basedOn w:val="Domylnaczcionkaakapitu"/>
    <w:uiPriority w:val="99"/>
    <w:semiHidden/>
    <w:unhideWhenUsed/>
    <w:rsid w:val="008C16A7"/>
    <w:rPr>
      <w:sz w:val="16"/>
      <w:szCs w:val="16"/>
    </w:rPr>
  </w:style>
  <w:style w:type="paragraph" w:styleId="Tekstkomentarza">
    <w:name w:val="annotation text"/>
    <w:aliases w:val="Znak1,Tekst komentarza Znak Znak,Znak Znak Znak,Tekst komentarza Znak Znak Znak"/>
    <w:basedOn w:val="Normalny"/>
    <w:link w:val="TekstkomentarzaZnak"/>
    <w:uiPriority w:val="99"/>
    <w:unhideWhenUsed/>
    <w:rsid w:val="008C16A7"/>
    <w:pPr>
      <w:spacing w:line="240" w:lineRule="auto"/>
    </w:pPr>
    <w:rPr>
      <w:sz w:val="20"/>
      <w:szCs w:val="20"/>
    </w:rPr>
  </w:style>
  <w:style w:type="character" w:customStyle="1" w:styleId="TekstkomentarzaZnak">
    <w:name w:val="Tekst komentarza Znak"/>
    <w:aliases w:val="Znak1 Znak,Tekst komentarza Znak Znak Znak1,Znak Znak Znak Znak,Tekst komentarza Znak Znak Znak Znak"/>
    <w:basedOn w:val="Domylnaczcionkaakapitu"/>
    <w:link w:val="Tekstkomentarza"/>
    <w:uiPriority w:val="99"/>
    <w:rsid w:val="008C16A7"/>
    <w:rPr>
      <w:sz w:val="20"/>
      <w:szCs w:val="20"/>
    </w:rPr>
  </w:style>
  <w:style w:type="paragraph" w:styleId="Tematkomentarza">
    <w:name w:val="annotation subject"/>
    <w:basedOn w:val="Tekstkomentarza"/>
    <w:next w:val="Tekstkomentarza"/>
    <w:link w:val="TematkomentarzaZnak"/>
    <w:uiPriority w:val="99"/>
    <w:semiHidden/>
    <w:unhideWhenUsed/>
    <w:rsid w:val="008C16A7"/>
    <w:rPr>
      <w:b/>
      <w:bCs/>
    </w:rPr>
  </w:style>
  <w:style w:type="character" w:customStyle="1" w:styleId="TematkomentarzaZnak">
    <w:name w:val="Temat komentarza Znak"/>
    <w:basedOn w:val="TekstkomentarzaZnak"/>
    <w:link w:val="Tematkomentarza"/>
    <w:uiPriority w:val="99"/>
    <w:semiHidden/>
    <w:rsid w:val="008C16A7"/>
    <w:rPr>
      <w:b/>
      <w:bCs/>
      <w:sz w:val="20"/>
      <w:szCs w:val="20"/>
    </w:rPr>
  </w:style>
  <w:style w:type="paragraph" w:styleId="Nagwek">
    <w:name w:val="header"/>
    <w:basedOn w:val="Normalny"/>
    <w:link w:val="NagwekZnak"/>
    <w:uiPriority w:val="99"/>
    <w:unhideWhenUsed/>
    <w:rsid w:val="004A2C30"/>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4A2C30"/>
  </w:style>
  <w:style w:type="paragraph" w:styleId="Stopka">
    <w:name w:val="footer"/>
    <w:basedOn w:val="Normalny"/>
    <w:link w:val="StopkaZnak"/>
    <w:uiPriority w:val="99"/>
    <w:unhideWhenUsed/>
    <w:rsid w:val="004A2C30"/>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4A2C30"/>
  </w:style>
  <w:style w:type="character" w:customStyle="1" w:styleId="Nagwek1Znak">
    <w:name w:val="Nagłówek 1 Znak"/>
    <w:basedOn w:val="Domylnaczcionkaakapitu"/>
    <w:link w:val="Nagwek1"/>
    <w:uiPriority w:val="9"/>
    <w:rsid w:val="00FA46DA"/>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FA46DA"/>
    <w:rPr>
      <w:rFonts w:asciiTheme="majorHAnsi" w:eastAsiaTheme="majorEastAsia" w:hAnsiTheme="majorHAnsi" w:cstheme="majorBidi"/>
      <w:b/>
      <w:bCs/>
      <w:color w:val="4472C4" w:themeColor="accent1"/>
      <w:sz w:val="26"/>
      <w:szCs w:val="26"/>
    </w:rPr>
  </w:style>
  <w:style w:type="paragraph" w:styleId="Nagwekspisutreci">
    <w:name w:val="TOC Heading"/>
    <w:basedOn w:val="Nagwek1"/>
    <w:next w:val="Normalny"/>
    <w:uiPriority w:val="39"/>
    <w:semiHidden/>
    <w:unhideWhenUsed/>
    <w:qFormat/>
    <w:rsid w:val="00FA46DA"/>
    <w:pPr>
      <w:spacing w:line="276" w:lineRule="auto"/>
      <w:outlineLvl w:val="9"/>
    </w:pPr>
    <w:rPr>
      <w:lang w:eastAsia="pl-PL"/>
    </w:rPr>
  </w:style>
  <w:style w:type="paragraph" w:styleId="Spistreci1">
    <w:name w:val="toc 1"/>
    <w:basedOn w:val="Normalny"/>
    <w:next w:val="Normalny"/>
    <w:autoRedefine/>
    <w:uiPriority w:val="39"/>
    <w:unhideWhenUsed/>
    <w:rsid w:val="003D325E"/>
    <w:pPr>
      <w:tabs>
        <w:tab w:val="right" w:leader="dot" w:pos="9016"/>
      </w:tabs>
      <w:spacing w:after="100"/>
    </w:pPr>
  </w:style>
  <w:style w:type="paragraph" w:styleId="Spistreci2">
    <w:name w:val="toc 2"/>
    <w:basedOn w:val="Normalny"/>
    <w:next w:val="Normalny"/>
    <w:autoRedefine/>
    <w:uiPriority w:val="39"/>
    <w:unhideWhenUsed/>
    <w:rsid w:val="00FA46DA"/>
    <w:pPr>
      <w:spacing w:after="100"/>
      <w:ind w:left="220"/>
    </w:pPr>
  </w:style>
  <w:style w:type="character" w:styleId="Hipercze">
    <w:name w:val="Hyperlink"/>
    <w:basedOn w:val="Domylnaczcionkaakapitu"/>
    <w:uiPriority w:val="99"/>
    <w:unhideWhenUsed/>
    <w:rsid w:val="00FA46DA"/>
    <w:rPr>
      <w:color w:val="0563C1" w:themeColor="hyperlink"/>
      <w:u w:val="single"/>
    </w:rPr>
  </w:style>
  <w:style w:type="character" w:customStyle="1" w:styleId="Nagwek3Znak">
    <w:name w:val="Nagłówek 3 Znak"/>
    <w:basedOn w:val="Domylnaczcionkaakapitu"/>
    <w:link w:val="Nagwek3"/>
    <w:uiPriority w:val="9"/>
    <w:rsid w:val="00304A90"/>
    <w:rPr>
      <w:rFonts w:asciiTheme="majorHAnsi" w:eastAsiaTheme="majorEastAsia" w:hAnsiTheme="majorHAnsi" w:cstheme="majorBidi"/>
      <w:b/>
      <w:bCs/>
      <w:color w:val="4472C4" w:themeColor="accent1"/>
    </w:rPr>
  </w:style>
  <w:style w:type="paragraph" w:styleId="Spistreci3">
    <w:name w:val="toc 3"/>
    <w:basedOn w:val="Normalny"/>
    <w:next w:val="Normalny"/>
    <w:autoRedefine/>
    <w:uiPriority w:val="39"/>
    <w:unhideWhenUsed/>
    <w:rsid w:val="0069403B"/>
    <w:pPr>
      <w:tabs>
        <w:tab w:val="left" w:pos="880"/>
        <w:tab w:val="right" w:leader="dot" w:pos="9016"/>
      </w:tabs>
      <w:spacing w:after="100"/>
      <w:ind w:left="440"/>
    </w:pPr>
  </w:style>
  <w:style w:type="table" w:styleId="Kolorowalistaakcent5">
    <w:name w:val="Colorful List Accent 5"/>
    <w:basedOn w:val="Standardowy"/>
    <w:uiPriority w:val="72"/>
    <w:rsid w:val="003141C3"/>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rednialista1akcent6">
    <w:name w:val="Medium List 1 Accent 6"/>
    <w:basedOn w:val="Standardowy"/>
    <w:uiPriority w:val="65"/>
    <w:rsid w:val="003141C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paragraph" w:styleId="Poprawka">
    <w:name w:val="Revision"/>
    <w:hidden/>
    <w:uiPriority w:val="99"/>
    <w:semiHidden/>
    <w:rsid w:val="008D669C"/>
    <w:pPr>
      <w:spacing w:after="0" w:line="240" w:lineRule="auto"/>
    </w:pPr>
  </w:style>
  <w:style w:type="character" w:customStyle="1" w:styleId="AkapitzlistZnak">
    <w:name w:val="Akapit z listą Znak"/>
    <w:aliases w:val="maz_wyliczenie Znak,opis dzialania Znak,K-P_odwolanie Znak,A_wyliczenie Znak,Akapit z listą5 Znak,punktowane_snoroa Znak,Numerowanie Znak,Kolorowa lista — akcent 11 Znak,Akapit z listą BS Znak,List Paragraph Znak,Obiekt Znak"/>
    <w:basedOn w:val="Domylnaczcionkaakapitu"/>
    <w:link w:val="Akapitzlist"/>
    <w:uiPriority w:val="34"/>
    <w:qFormat/>
    <w:rsid w:val="001D6090"/>
  </w:style>
  <w:style w:type="paragraph" w:styleId="HTML-wstpniesformatowany">
    <w:name w:val="HTML Preformatted"/>
    <w:basedOn w:val="Normalny"/>
    <w:link w:val="HTML-wstpniesformatowanyZnak"/>
    <w:uiPriority w:val="99"/>
    <w:unhideWhenUsed/>
    <w:rsid w:val="001D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D6090"/>
    <w:rPr>
      <w:rFonts w:ascii="Courier New" w:eastAsia="Times New Roman" w:hAnsi="Courier New" w:cs="Courier New"/>
      <w:sz w:val="20"/>
      <w:szCs w:val="20"/>
      <w:lang w:eastAsia="pl-PL"/>
    </w:rPr>
  </w:style>
  <w:style w:type="character" w:customStyle="1" w:styleId="oj-bold">
    <w:name w:val="oj-bold"/>
    <w:basedOn w:val="Domylnaczcionkaakapitu"/>
    <w:rsid w:val="001D6090"/>
  </w:style>
  <w:style w:type="character" w:customStyle="1" w:styleId="Tytu1">
    <w:name w:val="Tytuł1"/>
    <w:basedOn w:val="Domylnaczcionkaakapitu"/>
    <w:rsid w:val="000A7A6B"/>
  </w:style>
  <w:style w:type="character" w:styleId="UyteHipercze">
    <w:name w:val="FollowedHyperlink"/>
    <w:basedOn w:val="Domylnaczcionkaakapitu"/>
    <w:uiPriority w:val="99"/>
    <w:semiHidden/>
    <w:unhideWhenUsed/>
    <w:rsid w:val="0069403B"/>
    <w:rPr>
      <w:color w:val="954F72" w:themeColor="followedHyperlink"/>
      <w:u w:val="single"/>
    </w:rPr>
  </w:style>
  <w:style w:type="numbering" w:customStyle="1" w:styleId="ListaUwagi">
    <w:name w:val="Lista_Uwagi"/>
    <w:uiPriority w:val="99"/>
    <w:rsid w:val="00300D31"/>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5687">
      <w:bodyDiv w:val="1"/>
      <w:marLeft w:val="0"/>
      <w:marRight w:val="0"/>
      <w:marTop w:val="0"/>
      <w:marBottom w:val="0"/>
      <w:divBdr>
        <w:top w:val="none" w:sz="0" w:space="0" w:color="auto"/>
        <w:left w:val="none" w:sz="0" w:space="0" w:color="auto"/>
        <w:bottom w:val="none" w:sz="0" w:space="0" w:color="auto"/>
        <w:right w:val="none" w:sz="0" w:space="0" w:color="auto"/>
      </w:divBdr>
    </w:div>
    <w:div w:id="659501157">
      <w:bodyDiv w:val="1"/>
      <w:marLeft w:val="0"/>
      <w:marRight w:val="0"/>
      <w:marTop w:val="0"/>
      <w:marBottom w:val="0"/>
      <w:divBdr>
        <w:top w:val="none" w:sz="0" w:space="0" w:color="auto"/>
        <w:left w:val="none" w:sz="0" w:space="0" w:color="auto"/>
        <w:bottom w:val="none" w:sz="0" w:space="0" w:color="auto"/>
        <w:right w:val="none" w:sz="0" w:space="0" w:color="auto"/>
      </w:divBdr>
    </w:div>
    <w:div w:id="791510230">
      <w:bodyDiv w:val="1"/>
      <w:marLeft w:val="0"/>
      <w:marRight w:val="0"/>
      <w:marTop w:val="0"/>
      <w:marBottom w:val="0"/>
      <w:divBdr>
        <w:top w:val="none" w:sz="0" w:space="0" w:color="auto"/>
        <w:left w:val="none" w:sz="0" w:space="0" w:color="auto"/>
        <w:bottom w:val="none" w:sz="0" w:space="0" w:color="auto"/>
        <w:right w:val="none" w:sz="0" w:space="0" w:color="auto"/>
      </w:divBdr>
    </w:div>
    <w:div w:id="1236087675">
      <w:bodyDiv w:val="1"/>
      <w:marLeft w:val="0"/>
      <w:marRight w:val="0"/>
      <w:marTop w:val="0"/>
      <w:marBottom w:val="0"/>
      <w:divBdr>
        <w:top w:val="none" w:sz="0" w:space="0" w:color="auto"/>
        <w:left w:val="none" w:sz="0" w:space="0" w:color="auto"/>
        <w:bottom w:val="none" w:sz="0" w:space="0" w:color="auto"/>
        <w:right w:val="none" w:sz="0" w:space="0" w:color="auto"/>
      </w:divBdr>
    </w:div>
    <w:div w:id="1384594839">
      <w:bodyDiv w:val="1"/>
      <w:marLeft w:val="0"/>
      <w:marRight w:val="0"/>
      <w:marTop w:val="0"/>
      <w:marBottom w:val="0"/>
      <w:divBdr>
        <w:top w:val="none" w:sz="0" w:space="0" w:color="auto"/>
        <w:left w:val="none" w:sz="0" w:space="0" w:color="auto"/>
        <w:bottom w:val="none" w:sz="0" w:space="0" w:color="auto"/>
        <w:right w:val="none" w:sz="0" w:space="0" w:color="auto"/>
      </w:divBdr>
    </w:div>
    <w:div w:id="1483303436">
      <w:bodyDiv w:val="1"/>
      <w:marLeft w:val="0"/>
      <w:marRight w:val="0"/>
      <w:marTop w:val="0"/>
      <w:marBottom w:val="0"/>
      <w:divBdr>
        <w:top w:val="none" w:sz="0" w:space="0" w:color="auto"/>
        <w:left w:val="none" w:sz="0" w:space="0" w:color="auto"/>
        <w:bottom w:val="none" w:sz="0" w:space="0" w:color="auto"/>
        <w:right w:val="none" w:sz="0" w:space="0" w:color="auto"/>
      </w:divBdr>
    </w:div>
    <w:div w:id="1572696348">
      <w:bodyDiv w:val="1"/>
      <w:marLeft w:val="0"/>
      <w:marRight w:val="0"/>
      <w:marTop w:val="0"/>
      <w:marBottom w:val="0"/>
      <w:divBdr>
        <w:top w:val="none" w:sz="0" w:space="0" w:color="auto"/>
        <w:left w:val="none" w:sz="0" w:space="0" w:color="auto"/>
        <w:bottom w:val="none" w:sz="0" w:space="0" w:color="auto"/>
        <w:right w:val="none" w:sz="0" w:space="0" w:color="auto"/>
      </w:divBdr>
    </w:div>
    <w:div w:id="19712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06D64D2A95D894D936889C9D96A78E7" ma:contentTypeVersion="3" ma:contentTypeDescription="Utwórz nowy dokument." ma:contentTypeScope="" ma:versionID="55989a7aed614202947304c9b8fbf2ad">
  <xsd:schema xmlns:xsd="http://www.w3.org/2001/XMLSchema" xmlns:xs="http://www.w3.org/2001/XMLSchema" xmlns:p="http://schemas.microsoft.com/office/2006/metadata/properties" xmlns:ns1="http://schemas.microsoft.com/sharepoint/v3" xmlns:ns2="78db968a-dfc8-4812-98f1-61ef61c30ad0" targetNamespace="http://schemas.microsoft.com/office/2006/metadata/properties" ma:root="true" ma:fieldsID="be75eff9f581e00961f6e80430de88ea" ns1:_="" ns2:_="">
    <xsd:import namespace="http://schemas.microsoft.com/sharepoint/v3"/>
    <xsd:import namespace="78db968a-dfc8-4812-98f1-61ef61c30ad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hidden="true"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db968a-dfc8-4812-98f1-61ef61c30ad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B2550-5F95-493D-8845-A5F5FEED276B}">
  <ds:schemaRefs>
    <ds:schemaRef ds:uri="http://schemas.microsoft.com/sharepoint/v3/contenttype/forms"/>
  </ds:schemaRefs>
</ds:datastoreItem>
</file>

<file path=customXml/itemProps2.xml><?xml version="1.0" encoding="utf-8"?>
<ds:datastoreItem xmlns:ds="http://schemas.openxmlformats.org/officeDocument/2006/customXml" ds:itemID="{ACDC829B-64E8-4DA9-88BB-F533D80C4C9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6307F90-2BD4-46DA-AC23-ECA5E540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db968a-dfc8-4812-98f1-61ef61c3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E52B1-9135-44D7-9BFD-7C6B6924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6675</Words>
  <Characters>40053</Characters>
  <Application>Microsoft Office Word</Application>
  <DocSecurity>0</DocSecurity>
  <Lines>333</Lines>
  <Paragraphs>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46635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Agata Witkowska</cp:lastModifiedBy>
  <cp:revision>7</cp:revision>
  <cp:lastPrinted>2017-08-14T14:39:00Z</cp:lastPrinted>
  <dcterms:created xsi:type="dcterms:W3CDTF">2024-11-27T06:10:00Z</dcterms:created>
  <dcterms:modified xsi:type="dcterms:W3CDTF">2024-12-03T11:16:00Z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0x010100B06D64D2A95D894D936889C9D96A78E7</vt:lpwstr>
  </property>
</Properties>
</file>